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52"/>
          <w:szCs w:val="52"/>
        </w:rPr>
        <w:t xml:space="preserve">Card Restoration Service Agreement</w:t>
      </w:r>
    </w:p>
    <w:p>
      <w:pPr>
        <w:spacing w:after="200"/>
      </w:pPr>
      <w:r>
        <w:rPr>
          <w:color w:val="555555"/>
          <w:sz w:val="32"/>
          <w:szCs w:val="32"/>
        </w:rPr>
        <w:t xml:space="preserve">Free Template</w:t>
      </w:r>
    </w:p>
    <w:p>
      <w:pPr>
        <w:spacing w:after="120"/>
      </w:pPr>
      <w:r>
        <w:rPr>
          <w:b/>
          <w:bCs/>
        </w:rPr>
        <w:t xml:space="preserve">A liability and scope-of-work agreement for professional card repair and restoration services.</w:t>
      </w:r>
    </w:p>
    <w:p>
      <w:pPr>
        <w:spacing w:after="120"/>
      </w:pPr>
      <w:r>
        <w:t xml:space="preserve">Provided free to the card conservation community by Card Conservation (cardconservation.com).</w:t>
      </w:r>
    </w:p>
    <w:p>
      <w:pPr>
        <w:spacing w:after="120"/>
      </w:pPr>
      <w:r>
        <w:t xml:space="preserve">Adapted and published with permission from a template originally written by Matthew Musick of Shiny Asset Exchange LLC (instagram.com/shinyassetexchange). Expanded and annotated by Card Conservation.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4A90D9" w:sz="6"/>
              <w:left w:val="single" w:color="4A90D9" w:sz="24"/>
              <w:bottom w:val="single" w:color="4A90D9" w:sz="6"/>
              <w:right w:val="single" w:color="4A90D9" w:sz="6"/>
            </w:tcBorders>
            <w:shd w:fill="EAF2FB" w:color="auto" w:val="clear"/>
            <w:tcMar>
              <w:top w:type="dxa" w:w="140"/>
              <w:left w:type="dxa" w:w="200"/>
              <w:bottom w:type="dxa" w:w="140"/>
              <w:right w:type="dxa" w:w="200"/>
            </w:tcMar>
          </w:tcPr>
          <w:p>
            <w:pPr>
              <w:spacing w:after="100"/>
            </w:pPr>
            <w:r>
              <w:rPr>
                <w:b/>
                <w:bCs/>
              </w:rPr>
              <w:t xml:space="preserve">Template v1.1 — September 2026.</w:t>
            </w:r>
            <w:r>
              <w:t xml:space="preserve"> This Word file is the only maintained copy. Download the latest version at cardconservation.com/wiki/Restoration_Service_Agreement_Template.</w:t>
            </w:r>
          </w:p>
          <w:p>
            <w:pPr>
              <w:spacing w:after="0"/>
            </w:pPr>
            <w:r>
              <w:rPr>
                <w:b/>
                <w:bCs/>
              </w:rPr>
              <w:t xml:space="preserve">Found a problem, or did your attorney suggest a change?</w:t>
            </w:r>
            <w:r>
              <w:t xml:space="preserve"> Email giovanni@pokemastercenter.com so the next version can include it. Improvements from working restorers and their lawyers are what keep this useful.</w:t>
            </w:r>
          </w:p>
        </w:tc>
      </w:tr>
    </w:tbl>
    <w:p>
      <w:pPr>
        <w:spacing w:after="200"/>
      </w:pPr>
    </w:p>
    <w:p>
      <w:pPr>
        <w:pStyle w:val="Heading1"/>
        <w:spacing w:after="160" w:before="360"/>
      </w:pPr>
      <w:r>
        <w:t xml:space="preserve">Read This First — Legal Disclaimer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0392B" w:sz="6"/>
              <w:left w:val="single" w:color="C0392B" w:sz="24"/>
              <w:bottom w:val="single" w:color="C0392B" w:sz="6"/>
              <w:right w:val="single" w:color="C0392B" w:sz="6"/>
            </w:tcBorders>
            <w:shd w:fill="FDECEA" w:color="auto" w:val="clear"/>
            <w:tcMar>
              <w:top w:type="dxa" w:w="140"/>
              <w:left w:type="dxa" w:w="200"/>
              <w:bottom w:type="dxa" w:w="140"/>
              <w:right w:type="dxa" w:w="200"/>
            </w:tcMar>
          </w:tcPr>
          <w:p>
            <w:pPr>
              <w:spacing w:after="100"/>
            </w:pPr>
            <w:r>
              <w:rPr>
                <w:b/>
                <w:bCs/>
              </w:rPr>
              <w:t xml:space="preserve">This is not legal advice, and Card Conservation is not a law firm.</w:t>
            </w:r>
          </w:p>
          <w:p>
            <w:pPr>
              <w:spacing w:after="0"/>
            </w:pPr>
            <w:r>
              <w:rPr>
                <w:b/>
                <w:bCs/>
              </w:rPr>
              <w:t xml:space="preserve">This document has not been drafted or reviewed by an attorney.</w:t>
            </w:r>
            <w:r>
              <w:t xml:space="preserve"> It was written by working restorers, for working restorers, based on practical experience, not legal training. It has never been tested in court. Treat it as a well-organized checklist of the things your contract should probably address, not as a contract you can safely use as-is.</w:t>
            </w:r>
          </w:p>
        </w:tc>
      </w:tr>
    </w:tbl>
    <w:p>
      <w:pPr>
        <w:spacing w:after="120"/>
      </w:pPr>
    </w:p>
    <w:p>
      <w:pPr>
        <w:spacing w:after="120"/>
      </w:pPr>
      <w:r>
        <w:t xml:space="preserve">This document is an educational starting point, not a finished contract. Before you use it with a real customer:</w:t>
      </w:r>
    </w:p>
    <w:p>
      <w:pPr>
        <w:pStyle w:val="ListParagraph"/>
        <w:numPr>
          <w:ilvl w:val="0"/>
          <w:numId w:val="2"/>
        </w:numPr>
        <w:spacing w:after="80"/>
      </w:pPr>
      <w:r>
        <w:rPr>
          <w:b/>
          <w:bCs/>
        </w:rPr>
        <w:t xml:space="preserve">Have a licensed attorney in your jurisdiction review it.</w:t>
      </w:r>
      <w:r>
        <w:t xml:space="preserve"> An hour of a lawyer's time is cheaper than one disputed vintage card.</w:t>
      </w:r>
    </w:p>
    <w:p>
      <w:pPr>
        <w:pStyle w:val="ListParagraph"/>
        <w:numPr>
          <w:ilvl w:val="0"/>
          <w:numId w:val="2"/>
        </w:numPr>
        <w:spacing w:after="80"/>
      </w:pPr>
      <w:r>
        <w:rPr>
          <w:b/>
          <w:bCs/>
        </w:rPr>
        <w:t xml:space="preserve">Laws vary enormously.</w:t>
      </w:r>
      <w:r>
        <w:t xml:space="preserve"> Consumer protection statutes, bailment law, artisan's lien rules, unclaimed-property law, limitation-of-liability enforceability, and mandatory-arbitration rules differ by U.S. state and by country. A clause that is fully enforceable in Texas may be void in California, the EU, the UK, Canada, or Australia.</w:t>
      </w:r>
    </w:p>
    <w:p>
      <w:pPr>
        <w:pStyle w:val="ListParagraph"/>
        <w:numPr>
          <w:ilvl w:val="0"/>
          <w:numId w:val="2"/>
        </w:numPr>
        <w:spacing w:after="80"/>
      </w:pPr>
      <w:r>
        <w:rPr>
          <w:b/>
          <w:bCs/>
        </w:rPr>
        <w:t xml:space="preserve">Some clauses may not be enforceable against consumers at all.</w:t>
      </w:r>
      <w:r>
        <w:t xml:space="preserve"> Many jurisdictions refuse to enforce liability waivers, damage caps, or forum-selection clauses in consumer contracts, or require specific formatting (bold, all-caps, separate initials) to make them effective.</w:t>
      </w:r>
    </w:p>
    <w:p>
      <w:pPr>
        <w:pStyle w:val="ListParagraph"/>
        <w:numPr>
          <w:ilvl w:val="0"/>
          <w:numId w:val="2"/>
        </w:numPr>
        <w:spacing w:after="80"/>
      </w:pPr>
      <w:r>
        <w:rPr>
          <w:b/>
          <w:bCs/>
        </w:rPr>
        <w:t xml:space="preserve">This template assumes a U.S.-based, business-to-consumer, in-person-or-mail service relationship.</w:t>
      </w:r>
      <w:r>
        <w:t xml:space="preserve"> If that is not you, it needs more than edits. It needs rewriting.</w:t>
      </w:r>
    </w:p>
    <w:p>
      <w:pPr>
        <w:pStyle w:val="ListParagraph"/>
        <w:numPr>
          <w:ilvl w:val="0"/>
          <w:numId w:val="2"/>
        </w:numPr>
        <w:spacing w:after="80"/>
      </w:pPr>
      <w:r>
        <w:rPr>
          <w:b/>
          <w:bCs/>
        </w:rPr>
        <w:t xml:space="preserve">An unenforceable waiver is worse than no waiver</w:t>
      </w:r>
      <w:r>
        <w:t xml:space="preserve">, because it creates false confidence. Do not skip the attorney step.</w:t>
      </w:r>
    </w:p>
    <w:p>
      <w:pPr>
        <w:spacing w:after="120"/>
      </w:pPr>
      <w:r>
        <w:t xml:space="preserve">Everything highlighted in </w:t>
      </w:r>
      <w:r>
        <w:rPr>
          <w:highlight w:val="yellow"/>
          <w:highlightCs w:val="yellow"/>
        </w:rPr>
        <w:t xml:space="preserve">[BRACKETS]</w:t>
      </w:r>
      <w:r>
        <w:t xml:space="preserve"> must be filled in or deleted. Everything else should be read line by line and adjusted to how you actually operate.</w:t>
      </w:r>
    </w:p>
    <w:p>
      <w:pPr>
        <w:pStyle w:val="Heading1"/>
        <w:spacing w:after="160" w:before="360"/>
      </w:pPr>
      <w:r>
        <w:t xml:space="preserve">How to Use This Template</w:t>
      </w:r>
    </w:p>
    <w:p>
      <w:pPr>
        <w:pStyle w:val="ListParagraph"/>
        <w:numPr>
          <w:ilvl w:val="0"/>
          <w:numId w:val="3"/>
        </w:numPr>
        <w:spacing w:after="80"/>
      </w:pPr>
      <w:r>
        <w:t xml:space="preserve">Replace all </w:t>
      </w:r>
      <w:r>
        <w:rPr>
          <w:highlight w:val="yellow"/>
          <w:highlightCs w:val="yellow"/>
        </w:rPr>
        <w:t xml:space="preserve">[BRACKETED]</w:t>
      </w:r>
      <w:r>
        <w:t xml:space="preserve"> fields with your information.</w:t>
      </w:r>
    </w:p>
    <w:p>
      <w:pPr>
        <w:pStyle w:val="ListParagraph"/>
        <w:numPr>
          <w:ilvl w:val="0"/>
          <w:numId w:val="3"/>
        </w:numPr>
        <w:spacing w:after="80"/>
      </w:pPr>
      <w:r>
        <w:t xml:space="preserve">Delete any optional section that does not apply to your business, and renumber.</w:t>
      </w:r>
    </w:p>
    <w:p>
      <w:pPr>
        <w:pStyle w:val="ListParagraph"/>
        <w:numPr>
          <w:ilvl w:val="0"/>
          <w:numId w:val="3"/>
        </w:numPr>
        <w:spacing w:after="80"/>
      </w:pPr>
      <w:r>
        <w:t xml:space="preserve">Have an attorney review the result.</w:t>
      </w:r>
    </w:p>
    <w:p>
      <w:pPr>
        <w:pStyle w:val="ListParagraph"/>
        <w:numPr>
          <w:ilvl w:val="0"/>
          <w:numId w:val="3"/>
        </w:numPr>
        <w:spacing w:after="80"/>
      </w:pPr>
      <w:r>
        <w:t xml:space="preserve">Send it </w:t>
      </w:r>
      <w:r>
        <w:rPr>
          <w:b/>
          <w:bCs/>
        </w:rPr>
        <w:t xml:space="preserve">before</w:t>
      </w:r>
      <w:r>
        <w:t xml:space="preserve"> any work begins, not with the invoice.</w:t>
      </w:r>
    </w:p>
    <w:p>
      <w:pPr>
        <w:pStyle w:val="ListParagraph"/>
        <w:numPr>
          <w:ilvl w:val="0"/>
          <w:numId w:val="3"/>
        </w:numPr>
        <w:spacing w:after="80"/>
      </w:pPr>
      <w:r>
        <w:t xml:space="preserve">Get affirmative acceptance in writing (email reply, e-signature, or checkbox on an intake form) and </w:t>
      </w:r>
      <w:r>
        <w:rPr>
          <w:b/>
          <w:bCs/>
        </w:rPr>
        <w:t xml:space="preserve">keep the record</w:t>
      </w:r>
      <w:r>
        <w:t xml:space="preserve">.</w:t>
      </w:r>
    </w:p>
    <w:p>
      <w:pPr>
        <w:pStyle w:val="ListParagraph"/>
        <w:numPr>
          <w:ilvl w:val="0"/>
          <w:numId w:val="3"/>
        </w:numPr>
        <w:spacing w:after="80"/>
      </w:pPr>
      <w:r>
        <w:t xml:space="preserve">Have the Customer complete and initial </w:t>
      </w:r>
      <w:r>
        <w:rPr>
          <w:b/>
          <w:bCs/>
        </w:rPr>
        <w:t xml:space="preserve">Schedule A (Scope of Work and Tier Authorization)</w:t>
      </w:r>
      <w:r>
        <w:t xml:space="preserve"> for every card. Fill in the Tech Sheet number for each card as you open its Conservation Tech Sheet at intake.</w:t>
      </w:r>
    </w:p>
    <w:p>
      <w:pPr>
        <w:pStyle w:val="ListParagraph"/>
        <w:numPr>
          <w:ilvl w:val="0"/>
          <w:numId w:val="3"/>
        </w:numPr>
        <w:spacing w:after="80"/>
      </w:pPr>
      <w:r>
        <w:t xml:space="preserve">Store a copy of the accepted agreement and Schedule A with the job file, alongside your intake photos and each card's Tech Sheet.</w:t>
      </w:r>
    </w:p>
    <w:p>
      <w:pPr>
        <w:spacing w:after="120"/>
      </w:pPr>
      <w:r>
        <w:rPr>
          <w:b/>
          <w:bCs/>
        </w:rPr>
        <w:t xml:space="preserve">Practical advice regardless of what your agreement says:</w:t>
      </w:r>
      <w:r>
        <w:t xml:space="preserve"> photograph every card on arrival under consistent lighting, front and back, before you touch it. A time-stamped photo record resolves more disputes than any clause in this document.</w:t>
      </w:r>
    </w:p>
    <w:p>
      <w:pPr>
        <w:pStyle w:val="Heading1"/>
        <w:spacing w:after="160" w:before="360"/>
      </w:pPr>
      <w:r>
        <w:t xml:space="preserve">A Note on Disclosure and Ethics</w:t>
      </w:r>
    </w:p>
    <w:p>
      <w:pPr>
        <w:spacing w:after="120"/>
      </w:pPr>
      <w:r>
        <w:t xml:space="preserve">This template protects the restorer. It does not, and cannot, authorize anyone to misrepresent a card.</w:t>
      </w:r>
    </w:p>
    <w:p>
      <w:pPr>
        <w:spacing w:after="120"/>
      </w:pPr>
      <w:r>
        <w:t xml:space="preserve">Restoration is legitimate work. Passing a restored card off as unrestored is not. Grading companies treat undisclosed alteration as grounds for rejection, and knowingly selling an altered card as original may constitute fraud regardless of what any agreement says. Section 12 below places the disclosure obligation squarely on the customer, and it should stay there.</w:t>
      </w:r>
    </w:p>
    <w:p>
      <w:pPr>
        <w:spacing w:after="120"/>
      </w:pPr>
      <w:r>
        <w:t xml:space="preserve">See also on the wiki: Altered Flags, Common Mistakes, Selling on eBay, Conservation Tech Sheet.</w:t>
      </w:r>
    </w:p>
    <w:p>
      <w:r>
        <w:br w:type="page"/>
      </w:r>
    </w:p>
    <w:p>
      <w:pPr>
        <w:pStyle w:val="Heading1"/>
        <w:spacing w:after="160" w:before="360"/>
      </w:pPr>
      <w:r>
        <w:t xml:space="preserve">Cover Email</w:t>
      </w:r>
    </w:p>
    <w:p>
      <w:pPr>
        <w:pBdr>
          <w:left w:val="single" w:color="BBBBBB" w:sz="12" w:space="8"/>
        </w:pBdr>
        <w:spacing w:after="100"/>
        <w:ind w:left="540"/>
      </w:pPr>
      <w:r>
        <w:rPr>
          <w:i w:val="false"/>
          <w:iCs w:val="false"/>
        </w:rPr>
        <w:t xml:space="preserve">Hi </w:t>
      </w:r>
      <w:r>
        <w:rPr>
          <w:i w:val="false"/>
          <w:iCs w:val="false"/>
          <w:highlight w:val="yellow"/>
          <w:highlightCs w:val="yellow"/>
        </w:rPr>
        <w:t xml:space="preserve">[CUSTOMER NAME]</w:t>
      </w:r>
      <w:r>
        <w:rPr>
          <w:i w:val="false"/>
          <w:iCs w:val="false"/>
        </w:rPr>
        <w:t xml:space="preserve">,</w:t>
      </w:r>
    </w:p>
    <w:p>
      <w:pPr>
        <w:pBdr>
          <w:left w:val="single" w:color="BBBBBB" w:sz="12" w:space="8"/>
        </w:pBdr>
        <w:spacing w:after="100"/>
        <w:ind w:left="540"/>
      </w:pPr>
      <w:r>
        <w:rPr>
          <w:i w:val="false"/>
          <w:iCs w:val="false"/>
        </w:rPr>
        <w:t xml:space="preserve">Thanks for reaching out about </w:t>
      </w:r>
      <w:r>
        <w:rPr>
          <w:i w:val="false"/>
          <w:iCs w:val="false"/>
          <w:highlight w:val="yellow"/>
          <w:highlightCs w:val="yellow"/>
        </w:rPr>
        <w:t xml:space="preserve">[BRIEF DESCRIPTION OF CARD(S)]</w:t>
      </w:r>
      <w:r>
        <w:rPr>
          <w:i w:val="false"/>
          <w:iCs w:val="false"/>
        </w:rPr>
        <w:t xml:space="preserve">.</w:t>
      </w:r>
    </w:p>
    <w:p>
      <w:pPr>
        <w:pBdr>
          <w:left w:val="single" w:color="BBBBBB" w:sz="12" w:space="8"/>
        </w:pBdr>
        <w:spacing w:after="100"/>
        <w:ind w:left="540"/>
      </w:pPr>
      <w:r>
        <w:rPr>
          <w:i w:val="false"/>
          <w:iCs w:val="false"/>
        </w:rPr>
        <w:t xml:space="preserve">Before I begin any repair or restoration work, I need your written confirmation that you have read and agree to the Service Agreement attached, and I need you to initial the level of work you are authorizing for each card on Schedule A.</w:t>
      </w:r>
    </w:p>
    <w:p>
      <w:pPr>
        <w:pBdr>
          <w:left w:val="single" w:color="BBBBBB" w:sz="12" w:space="8"/>
        </w:pBdr>
        <w:spacing w:after="100"/>
        <w:ind w:left="540"/>
      </w:pPr>
      <w:r>
        <w:rPr>
          <w:i w:val="false"/>
          <w:iCs w:val="false"/>
        </w:rPr>
        <w:t xml:space="preserve">Please reply to this email stating that you have read, understand, and agree to the terms, and return the completed Schedule A. I will get started once I have both.</w:t>
      </w:r>
    </w:p>
    <w:p>
      <w:pPr>
        <w:pBdr>
          <w:left w:val="single" w:color="BBBBBB" w:sz="12" w:space="8"/>
        </w:pBdr>
        <w:spacing w:after="100"/>
        <w:ind w:left="540"/>
      </w:pPr>
      <w:r>
        <w:rPr>
          <w:i w:val="false"/>
          <w:iCs w:val="false"/>
        </w:rPr>
        <w:t xml:space="preserve">If you have questions about any provision, or about the difference between conservation, restoration, and alteration, ask before you accept. I would rather talk it through now than after work has begun.</w:t>
      </w:r>
    </w:p>
    <w:p>
      <w:pPr>
        <w:pBdr>
          <w:left w:val="single" w:color="BBBBBB" w:sz="12" w:space="8"/>
        </w:pBdr>
        <w:spacing w:after="100"/>
        <w:ind w:left="540"/>
      </w:pPr>
      <w:r>
        <w:rPr>
          <w:i w:val="false"/>
          <w:iCs w:val="false"/>
        </w:rPr>
        <w:t xml:space="preserve">Thank you,</w:t>
      </w:r>
    </w:p>
    <w:p>
      <w:pPr>
        <w:pBdr>
          <w:left w:val="single" w:color="BBBBBB" w:sz="12" w:space="8"/>
        </w:pBdr>
        <w:spacing w:after="100"/>
        <w:ind w:left="540"/>
      </w:pPr>
      <w:r>
        <w:rPr>
          <w:i w:val="false"/>
          <w:iCs w:val="false"/>
          <w:highlight w:val="yellow"/>
          <w:highlightCs w:val="yellow"/>
        </w:rPr>
        <w:t xml:space="preserve">[YOUR NAME]</w:t>
      </w:r>
    </w:p>
    <w:p>
      <w:pPr>
        <w:pBdr>
          <w:left w:val="single" w:color="BBBBBB" w:sz="12" w:space="8"/>
        </w:pBdr>
        <w:spacing w:after="100"/>
        <w:ind w:left="540"/>
      </w:pPr>
      <w:r>
        <w:rPr>
          <w:i w:val="false"/>
          <w:iCs w:val="false"/>
          <w:highlight w:val="yellow"/>
          <w:highlightCs w:val="yellow"/>
        </w:rPr>
        <w:t xml:space="preserve">[YOUR BUSINESS NAME]</w:t>
      </w:r>
    </w:p>
    <w:p>
      <w:pPr>
        <w:pBdr>
          <w:left w:val="single" w:color="BBBBBB" w:sz="12" w:space="8"/>
        </w:pBdr>
        <w:spacing w:after="100"/>
        <w:ind w:left="540"/>
      </w:pPr>
      <w:r>
        <w:rPr>
          <w:i w:val="false"/>
          <w:iCs w:val="false"/>
          <w:highlight w:val="yellow"/>
          <w:highlightCs w:val="yellow"/>
        </w:rPr>
        <w:t xml:space="preserve">[CONTACT INFO]</w:t>
      </w:r>
    </w:p>
    <w:p>
      <w:r>
        <w:br w:type="page"/>
      </w:r>
    </w:p>
    <w:p>
      <w:pPr>
        <w:spacing w:after="240"/>
        <w:jc w:val="center"/>
      </w:pPr>
      <w:r>
        <w:rPr>
          <w:b/>
          <w:bCs/>
          <w:sz w:val="36"/>
          <w:szCs w:val="36"/>
        </w:rPr>
        <w:t xml:space="preserve">Card Repair and Restoration Service Agreement</w:t>
      </w:r>
    </w:p>
    <w:p>
      <w:pPr>
        <w:spacing w:after="120"/>
      </w:pPr>
      <w:r>
        <w:t xml:space="preserve">This Service Agreement (the "</w:t>
      </w:r>
      <w:r>
        <w:rPr>
          <w:b/>
          <w:bCs/>
        </w:rPr>
        <w:t xml:space="preserve">Agreement</w:t>
      </w:r>
      <w:r>
        <w:t xml:space="preserve">") is entered into between </w:t>
      </w:r>
      <w:r>
        <w:rPr>
          <w:highlight w:val="yellow"/>
          <w:highlightCs w:val="yellow"/>
        </w:rPr>
        <w:t xml:space="preserve">[YOUR LEGAL BUSINESS NAME]</w:t>
      </w:r>
      <w:r>
        <w:t xml:space="preserve"> (the "</w:t>
      </w:r>
      <w:r>
        <w:rPr>
          <w:b/>
          <w:bCs/>
        </w:rPr>
        <w:t xml:space="preserve">Service Provider</w:t>
      </w:r>
      <w:r>
        <w:t xml:space="preserve">") and </w:t>
      </w:r>
      <w:r>
        <w:rPr>
          <w:highlight w:val="yellow"/>
          <w:highlightCs w:val="yellow"/>
        </w:rPr>
        <w:t xml:space="preserve">[CUSTOMER NAME]</w:t>
      </w:r>
      <w:r>
        <w:t xml:space="preserve"> (the "</w:t>
      </w:r>
      <w:r>
        <w:rPr>
          <w:b/>
          <w:bCs/>
        </w:rPr>
        <w:t xml:space="preserve">Customer</w:t>
      </w:r>
      <w:r>
        <w:t xml:space="preserve">"), effective as of the date the Customer accepts these terms as described in Section 19.</w:t>
      </w:r>
    </w:p>
    <w:p>
      <w:pPr>
        <w:pStyle w:val="Heading2"/>
        <w:spacing w:after="120" w:before="280"/>
      </w:pPr>
      <w:r>
        <w:t xml:space="preserve">1. Services and Scope of Work</w:t>
      </w:r>
    </w:p>
    <w:p>
      <w:pPr>
        <w:spacing w:after="120"/>
      </w:pPr>
      <w:r>
        <w:t xml:space="preserve">The Service Provider agrees to perform the repair and restoration services (the "</w:t>
      </w:r>
      <w:r>
        <w:rPr>
          <w:b/>
          <w:bCs/>
        </w:rPr>
        <w:t xml:space="preserve">Services</w:t>
      </w:r>
      <w:r>
        <w:t xml:space="preserve">") on the trading card(s) (the "</w:t>
      </w:r>
      <w:r>
        <w:rPr>
          <w:b/>
          <w:bCs/>
        </w:rPr>
        <w:t xml:space="preserve">Card(s)</w:t>
      </w:r>
      <w:r>
        <w:t xml:space="preserve">") identified in </w:t>
      </w:r>
      <w:r>
        <w:rPr>
          <w:b/>
          <w:bCs/>
        </w:rPr>
        <w:t xml:space="preserve">Schedule A (Scope of Work and Tier Authorization)</w:t>
      </w:r>
      <w:r>
        <w:t xml:space="preserve">, which is attached to and forms part of this Agreement.</w:t>
      </w:r>
    </w:p>
    <w:p>
      <w:pPr>
        <w:spacing w:after="120"/>
      </w:pPr>
      <w:r>
        <w:rPr>
          <w:b/>
          <w:bCs/>
        </w:rPr>
        <w:t xml:space="preserve">Authorized tier.</w:t>
      </w:r>
      <w:r>
        <w:t xml:space="preserve"> For each Card, the Customer has initialed on Schedule A the highest Disclosure Tier of work the Customer authorizes: Tier I (Conservation), Tier II (Restoration), or Tier III (Alteration), as those tiers are defined in Schedule A. The Service Provider will not perform work on a Card beyond the tier authorized for that Card without the Customer's prior written approval.</w:t>
      </w:r>
    </w:p>
    <w:p>
      <w:pPr>
        <w:spacing w:after="120"/>
      </w:pPr>
      <w:r>
        <w:rPr>
          <w:b/>
          <w:bCs/>
        </w:rPr>
        <w:t xml:space="preserve">Conservation Tech Sheet.</w:t>
      </w:r>
      <w:r>
        <w:t xml:space="preserve"> Each Card will be documented on a Conservation Tech Sheet (cardconservation.com/tech-sheet) bearing the Tech Sheet number recorded for that Card on Schedule A. The Tech Sheet records the Card's condition at intake, each process performed, the Disclosure Tier of the work actually performed, and the condition on completion. Each Card's Tech Sheet is incorporated into this Agreement by reference and constitutes the scope-of-work record for that Card. The Customer will receive the completed Tech Sheet with the returned Card.</w:t>
      </w:r>
    </w:p>
    <w:p>
      <w:pPr>
        <w:spacing w:after="120"/>
      </w:pPr>
      <w:r>
        <w:rPr>
          <w:b/>
          <w:bCs/>
        </w:rPr>
        <w:t xml:space="preserve">Optional additions to consider:</w:t>
      </w:r>
    </w:p>
    <w:p>
      <w:pPr>
        <w:pStyle w:val="ListParagraph"/>
        <w:numPr>
          <w:ilvl w:val="0"/>
          <w:numId w:val="2"/>
        </w:numPr>
        <w:spacing w:after="80"/>
      </w:pPr>
      <w:r>
        <w:rPr>
          <w:b/>
          <w:bCs/>
        </w:rPr>
        <w:t xml:space="preserve">Estimated turnaround:</w:t>
      </w:r>
      <w:r>
        <w:t xml:space="preserve"> </w:t>
      </w:r>
      <w:r>
        <w:rPr>
          <w:highlight w:val="yellow"/>
          <w:highlightCs w:val="yellow"/>
        </w:rPr>
        <w:t xml:space="preserve">[X]</w:t>
      </w:r>
      <w:r>
        <w:t xml:space="preserve"> business days from receipt, which is an estimate and not a guaranteed completion date.</w:t>
      </w:r>
    </w:p>
    <w:p>
      <w:pPr>
        <w:pStyle w:val="ListParagraph"/>
        <w:numPr>
          <w:ilvl w:val="0"/>
          <w:numId w:val="2"/>
        </w:numPr>
        <w:spacing w:after="80"/>
      </w:pPr>
      <w:r>
        <w:rPr>
          <w:b/>
          <w:bCs/>
        </w:rPr>
        <w:t xml:space="preserve">Right to refuse:</w:t>
      </w:r>
      <w:r>
        <w:t xml:space="preserve"> The Service Provider may decline or discontinue any job at its sole discretion and return the Card(s) to the Customer, at </w:t>
      </w:r>
      <w:r>
        <w:rPr>
          <w:highlight w:val="yellow"/>
          <w:highlightCs w:val="yellow"/>
        </w:rPr>
        <w:t xml:space="preserve">[WHOSE]</w:t>
      </w:r>
      <w:r>
        <w:t xml:space="preserve"> expense.</w:t>
      </w:r>
    </w:p>
    <w:p>
      <w:pPr>
        <w:pStyle w:val="ListParagraph"/>
        <w:numPr>
          <w:ilvl w:val="0"/>
          <w:numId w:val="2"/>
        </w:numPr>
        <w:spacing w:after="80"/>
      </w:pPr>
      <w:r>
        <w:rPr>
          <w:b/>
          <w:bCs/>
        </w:rPr>
        <w:t xml:space="preserve">Declared value:</w:t>
      </w:r>
      <w:r>
        <w:t xml:space="preserve"> The Customer declares the value of each submitted Card on Schedule A for the purposes of this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0A030" w:sz="6"/>
              <w:left w:val="single" w:color="E0A030" w:sz="24"/>
              <w:bottom w:val="single" w:color="E0A030" w:sz="6"/>
              <w:right w:val="single" w:color="E0A030" w:sz="6"/>
            </w:tcBorders>
            <w:shd w:fill="FFF4E5" w:color="auto" w:val="clear"/>
            <w:tcMar>
              <w:top w:type="dxa" w:w="140"/>
              <w:left w:type="dxa" w:w="200"/>
              <w:bottom w:type="dxa" w:w="140"/>
              <w:right w:type="dxa" w:w="200"/>
            </w:tcMar>
          </w:tcPr>
          <w:p>
            <w:pPr>
              <w:spacing w:after="0"/>
            </w:pPr>
            <w:r>
              <w:rPr>
                <w:b/>
                <w:bCs/>
              </w:rPr>
              <w:t xml:space="preserve">Attorney flag:</w:t>
            </w:r>
            <w:r>
              <w:t xml:space="preserve"> The tier-authorization structure in this section and in Schedule A was added on the recommendation of an attorney reviewing a working restorer's agreement. It is designed so that the customer, not the restorer, chooses how much risk to accept, and so that the choice is recorded per card. It has still not been reviewed by an attorney in its published form. Have yours confirm the wording and the initial-box format satisfy the conspicuousness rules in your state.</w:t>
            </w:r>
          </w:p>
        </w:tc>
      </w:tr>
    </w:tbl>
    <w:p>
      <w:pPr>
        <w:pStyle w:val="Heading2"/>
        <w:spacing w:after="120" w:before="280"/>
      </w:pPr>
      <w:r>
        <w:t xml:space="preserve">2. Acknowledgment of Risk</w:t>
      </w:r>
    </w:p>
    <w:p>
      <w:pPr>
        <w:spacing w:after="120"/>
      </w:pPr>
      <w:r>
        <w:t xml:space="preserve">The Customer acknowledges and understands that card repair and restoration involve specialized techniques and processes that carry inherent risks, including but not limited to:</w:t>
      </w:r>
    </w:p>
    <w:p>
      <w:pPr>
        <w:pStyle w:val="ListParagraph"/>
        <w:numPr>
          <w:ilvl w:val="0"/>
          <w:numId w:val="2"/>
        </w:numPr>
        <w:spacing w:after="80"/>
      </w:pPr>
      <w:r>
        <w:t xml:space="preserve">Minor alterations in texture, gloss, or coloration</w:t>
      </w:r>
    </w:p>
    <w:p>
      <w:pPr>
        <w:pStyle w:val="ListParagraph"/>
        <w:numPr>
          <w:ilvl w:val="0"/>
          <w:numId w:val="2"/>
        </w:numPr>
        <w:spacing w:after="80"/>
      </w:pPr>
      <w:r>
        <w:t xml:space="preserve">Changes in surface integrity, including additional whitening or increased visibility of existing defects</w:t>
      </w:r>
    </w:p>
    <w:p>
      <w:pPr>
        <w:pStyle w:val="ListParagraph"/>
        <w:numPr>
          <w:ilvl w:val="0"/>
          <w:numId w:val="2"/>
        </w:numPr>
        <w:spacing w:after="80"/>
      </w:pPr>
      <w:r>
        <w:t xml:space="preserve">Unforeseen reactions to materials, treatments, heat, pressure, hydration, cleaning processes, or environmental factors</w:t>
      </w:r>
    </w:p>
    <w:p>
      <w:pPr>
        <w:pStyle w:val="ListParagraph"/>
        <w:numPr>
          <w:ilvl w:val="0"/>
          <w:numId w:val="2"/>
        </w:numPr>
        <w:spacing w:after="80"/>
      </w:pPr>
      <w:r>
        <w:t xml:space="preserve">The possibility that certain defects cannot be fully repaired and may remain visible</w:t>
      </w:r>
    </w:p>
    <w:p>
      <w:pPr>
        <w:pStyle w:val="ListParagraph"/>
        <w:numPr>
          <w:ilvl w:val="0"/>
          <w:numId w:val="2"/>
        </w:numPr>
        <w:spacing w:after="80"/>
      </w:pPr>
      <w:r>
        <w:t xml:space="preserve">The possibility that the Card(s) may be left in a condition equal to or worse than their condition on arrival</w:t>
      </w:r>
    </w:p>
    <w:p>
      <w:pPr>
        <w:spacing w:after="120"/>
      </w:pPr>
      <w:r>
        <w:t xml:space="preserve">The Customer understands and agrees that while the Service Provider will exercise reasonable care and professional judgment, </w:t>
      </w:r>
      <w:r>
        <w:rPr>
          <w:b/>
          <w:bCs/>
        </w:rPr>
        <w:t xml:space="preserve">no specific outcome is guaranteed</w:t>
      </w:r>
      <w:r>
        <w:t xml:space="preserve">, and some changes may be permanent or irreversible.</w:t>
      </w:r>
    </w:p>
    <w:p>
      <w:pPr>
        <w:spacing w:after="120"/>
      </w:pPr>
      <w:r>
        <w:t xml:space="preserve">The Customer further acknowledges that the risks above increase with each Disclosure Tier, and that </w:t>
      </w:r>
      <w:r>
        <w:rPr>
          <w:b/>
          <w:bCs/>
        </w:rPr>
        <w:t xml:space="preserve">Tier III (Alteration) work carries a high risk that the Card will be rejected by, or flagged as altered by, third-party grading services.</w:t>
      </w:r>
      <w:r>
        <w:t xml:space="preserve"> By authorizing Tier III work on Schedule A, the Customer accepts that risk for that Card.</w:t>
      </w:r>
    </w:p>
    <w:p>
      <w:pPr>
        <w:pStyle w:val="Heading2"/>
        <w:spacing w:after="120" w:before="280"/>
      </w:pPr>
      <w:r>
        <w:t xml:space="preserve">3. Assumption of Risk and Limitation of Liability</w:t>
      </w:r>
    </w:p>
    <w:p>
      <w:pPr>
        <w:spacing w:after="120"/>
      </w:pPr>
      <w:r>
        <w:t xml:space="preserve">The Customer knowingly and voluntarily assumes all risks associated with the repair and restoration process.</w:t>
      </w:r>
    </w:p>
    <w:p>
      <w:pPr>
        <w:spacing w:after="120"/>
      </w:pPr>
      <w:r>
        <w:t xml:space="preserve">To the fullest extent permitted by applicable law, the Service Provider shall not be liable for any actual or perceived loss in value, condition change, or damage arising during or after the restoration process, including but not limited to:</w:t>
      </w:r>
    </w:p>
    <w:p>
      <w:pPr>
        <w:pStyle w:val="ListParagraph"/>
        <w:numPr>
          <w:ilvl w:val="0"/>
          <w:numId w:val="2"/>
        </w:numPr>
        <w:spacing w:after="80"/>
      </w:pPr>
      <w:r>
        <w:t xml:space="preserve">Fading, color shifts, whitening, gloss variation, or surface changes</w:t>
      </w:r>
    </w:p>
    <w:p>
      <w:pPr>
        <w:pStyle w:val="ListParagraph"/>
        <w:numPr>
          <w:ilvl w:val="0"/>
          <w:numId w:val="2"/>
        </w:numPr>
        <w:spacing w:after="80"/>
      </w:pPr>
      <w:r>
        <w:t xml:space="preserve">Creases, dents, impressions, or imperfections that may not be fully removable or that may become more apparent</w:t>
      </w:r>
    </w:p>
    <w:p>
      <w:pPr>
        <w:pStyle w:val="ListParagraph"/>
        <w:numPr>
          <w:ilvl w:val="0"/>
          <w:numId w:val="2"/>
        </w:numPr>
        <w:spacing w:after="80"/>
      </w:pPr>
      <w:r>
        <w:t xml:space="preserve">Any impact on the Card's eligibility for grading, authentication, encapsulation, or resale</w:t>
      </w:r>
    </w:p>
    <w:p>
      <w:pPr>
        <w:spacing w:after="120"/>
      </w:pPr>
      <w:r>
        <w:rPr>
          <w:b/>
          <w:bCs/>
        </w:rPr>
        <w:t xml:space="preserve">Liability cap.</w:t>
      </w:r>
      <w:r>
        <w:t xml:space="preserve"> (Optional. Discuss with your attorney; caps are unenforceable in some jurisdictions and may be voided as unconscionable if set too low.) To the fullest extent permitted by applicable law, the Service Provider's total aggregate liability arising out of or relating to this Agreement shall not exceed </w:t>
      </w:r>
      <w:r>
        <w:rPr>
          <w:highlight w:val="yellow"/>
          <w:highlightCs w:val="yellow"/>
        </w:rPr>
        <w:t xml:space="preserve">[THE TOTAL FEES PAID BY THE CUSTOMER FOR THE SERVICES / $ AMOUNT / THE DECLARED VALUE ON SCHEDULE A]</w:t>
      </w:r>
      <w:r>
        <w:t xml:space="preserve">.</w:t>
      </w:r>
    </w:p>
    <w:p>
      <w:pPr>
        <w:spacing w:after="120"/>
      </w:pPr>
      <w:r>
        <w:t xml:space="preserve">Nothing in this Agreement limits liability that cannot be limited under applicable law, including liability for gross negligence, willful misconduct, or fraud.</w:t>
      </w:r>
    </w:p>
    <w:p>
      <w:pPr>
        <w:pStyle w:val="Heading2"/>
        <w:spacing w:after="120" w:before="280"/>
      </w:pPr>
      <w:r>
        <w:t xml:space="preserve">4. No Guarantee of Grading or Value</w:t>
      </w:r>
    </w:p>
    <w:p>
      <w:pPr>
        <w:spacing w:after="120"/>
      </w:pPr>
      <w:r>
        <w:t xml:space="preserve">The Service Provider makes no representations or warranties regarding:</w:t>
      </w:r>
    </w:p>
    <w:p>
      <w:pPr>
        <w:pStyle w:val="ListParagraph"/>
        <w:numPr>
          <w:ilvl w:val="0"/>
          <w:numId w:val="2"/>
        </w:numPr>
        <w:spacing w:after="80"/>
      </w:pPr>
      <w:r>
        <w:t xml:space="preserve">The outcome of grading or authentication by third-party companies, including but not limited to PSA, Beckett (BGS), CGC, SGC, TAG, or similar entities</w:t>
      </w:r>
    </w:p>
    <w:p>
      <w:pPr>
        <w:pStyle w:val="ListParagraph"/>
        <w:numPr>
          <w:ilvl w:val="0"/>
          <w:numId w:val="2"/>
        </w:numPr>
        <w:spacing w:after="80"/>
      </w:pPr>
      <w:r>
        <w:t xml:space="preserve">Whether a Card will or will not be flagged as altered, restored, or otherwise ineligible for numeric grading</w:t>
      </w:r>
    </w:p>
    <w:p>
      <w:pPr>
        <w:pStyle w:val="ListParagraph"/>
        <w:numPr>
          <w:ilvl w:val="0"/>
          <w:numId w:val="2"/>
        </w:numPr>
        <w:spacing w:after="80"/>
      </w:pPr>
      <w:r>
        <w:t xml:space="preserve">The market value, resale value, or collectability of any Card following restoration</w:t>
      </w:r>
    </w:p>
    <w:p>
      <w:pPr>
        <w:spacing w:after="120"/>
      </w:pPr>
      <w:r>
        <w:t xml:space="preserve">All grading determinations and valuations are made solely by independent third parties and are entirely outside the Service Provider's control.</w:t>
      </w:r>
    </w:p>
    <w:p>
      <w:pPr>
        <w:pStyle w:val="Heading2"/>
        <w:spacing w:after="120" w:before="280"/>
      </w:pPr>
      <w:r>
        <w:t xml:space="preserve">5. Shipping and Handling</w:t>
      </w:r>
    </w:p>
    <w:p>
      <w:pPr>
        <w:spacing w:after="120"/>
      </w:pPr>
      <w:r>
        <w:t xml:space="preserve">The Service Provider is not responsible for loss, theft, or damage occurring during inbound or outbound shipping. The Customer is strongly encouraged to use tracked and insured shipping methods.</w:t>
      </w:r>
    </w:p>
    <w:p>
      <w:pPr>
        <w:spacing w:after="120"/>
      </w:pPr>
      <w:r>
        <w:t xml:space="preserve">Unless otherwise agreed in writing, shipping risk remains solely with the Customer. Outbound shipping will be sent </w:t>
      </w:r>
      <w:r>
        <w:rPr>
          <w:highlight w:val="yellow"/>
          <w:highlightCs w:val="yellow"/>
        </w:rPr>
        <w:t xml:space="preserve">[TRACKED AND INSURED FOR $___ / AS SPECIFIED BY THE CUSTOMER]</w:t>
      </w:r>
      <w:r>
        <w:t xml:space="preserve"> at </w:t>
      </w:r>
      <w:r>
        <w:rPr>
          <w:highlight w:val="yellow"/>
          <w:highlightCs w:val="yellow"/>
        </w:rPr>
        <w:t xml:space="preserve">[WHOSE]</w:t>
      </w:r>
      <w:r>
        <w:t xml:space="preserve"> expense.</w:t>
      </w:r>
    </w:p>
    <w:p>
      <w:pPr>
        <w:pStyle w:val="Heading2"/>
        <w:spacing w:after="120" w:before="280"/>
      </w:pPr>
      <w:r>
        <w:t xml:space="preserve">6. Custody of Property</w:t>
      </w:r>
    </w:p>
    <w:p>
      <w:pPr>
        <w:spacing w:after="120"/>
      </w:pPr>
      <w:r>
        <w:t xml:space="preserve">The Service Provider will exercise reasonable care in safeguarding the Customer's Card(s) while they are in the Service Provider's possession. However, the Customer acknowledges and agrees that </w:t>
      </w:r>
      <w:r>
        <w:rPr>
          <w:b/>
          <w:bCs/>
        </w:rPr>
        <w:t xml:space="preserve">the Service Provider is not an insurer of the Card(s)</w:t>
      </w:r>
      <w:r>
        <w:t xml:space="preserve">.</w:t>
      </w:r>
    </w:p>
    <w:p>
      <w:pPr>
        <w:spacing w:after="120"/>
      </w:pPr>
      <w:r>
        <w:t xml:space="preserve">Except to the extent caused by the Service Provider's gross negligence, willful misconduct, or fraud, the Service Provider shall not be liable for any loss, theft, burglary, fire, vandalism, natural disaster, carrier delay, or other event beyond the Service Provider's reasonable control while the Card(s) are in the Service Provider's care, custody, or control.</w:t>
      </w:r>
    </w:p>
    <w:p>
      <w:pPr>
        <w:spacing w:after="120"/>
      </w:pPr>
      <w:r>
        <w:t xml:space="preserve">The Customer acknowledges that collectible trading cards may possess substantial monetary or sentimental value, and assumes the risk of loss arising from such events beyond the Service Provider's reasonable control. The Customer is encouraged to maintain or obtain appropriate insurance coverage for valuable Card(s).</w:t>
      </w:r>
    </w:p>
    <w:p>
      <w:pPr>
        <w:pStyle w:val="Heading2"/>
        <w:spacing w:after="120" w:before="280"/>
      </w:pPr>
      <w:r>
        <w:t xml:space="preserve">7. Pre-Existing Conditions and Hidden Defects</w:t>
      </w:r>
    </w:p>
    <w:p>
      <w:pPr>
        <w:spacing w:after="120"/>
      </w:pPr>
      <w:r>
        <w:t xml:space="preserve">The Customer acknowledges that collectible trading cards may contain pre-existing damage, hidden defects, prior restoration, manufacturing irregularities, contamination, or other conditions that are not visible or reasonably discoverable before restoration begins.</w:t>
      </w:r>
    </w:p>
    <w:p>
      <w:pPr>
        <w:spacing w:after="120"/>
      </w:pPr>
      <w:r>
        <w:t xml:space="preserve">The Customer understands and agrees that such conditions may affect the restoration process or become apparent only after treatment has commenced. The Service Provider shall not be responsible for adverse outcomes resulting from pre-existing or concealed conditions that could not reasonably have been identified prior to performing the authorized Services. Pre-existing conditions identified at intake will be recorded on the Card's Conservation Tech Sheet condition map.</w:t>
      </w:r>
    </w:p>
    <w:p>
      <w:pPr>
        <w:pStyle w:val="Heading2"/>
        <w:spacing w:after="120" w:before="280"/>
      </w:pPr>
      <w:r>
        <w:t xml:space="preserve">8. Authorization for Restoration Methods</w:t>
      </w:r>
    </w:p>
    <w:p>
      <w:pPr>
        <w:spacing w:after="120"/>
      </w:pPr>
      <w:r>
        <w:t xml:space="preserve">Within the Disclosure Tier authorized for each Card on Schedule A, the Customer authorizes the Service Provider to perform the Services using the Service Provider's professional judgment, experience, and customary restoration techniques, including the selection of materials, tools, processes, heat, pressure, hydration, cleaning, or other restoration methods the Service Provider reasonably determines are appropriate.</w:t>
      </w:r>
    </w:p>
    <w:p>
      <w:pPr>
        <w:spacing w:after="120"/>
      </w:pPr>
      <w:r>
        <w:t xml:space="preserve">The Customer acknowledges that individual cards may respond differently to restoration techniques, and that the Service Provider may modify or discontinue a treatment if, in the Service Provider's professional judgment, doing so is appropriate to help preserve the condition of the Card.</w:t>
      </w:r>
    </w:p>
    <w:p>
      <w:pPr>
        <w:spacing w:after="120"/>
      </w:pPr>
      <w:r>
        <w:t xml:space="preserve">If the Service Provider determines that the authorized tier is insufficient to achieve the Customer's goal, or that a material change in the scope of the Services is necessary, the Service Provider will stop and obtain the Customer's written approval before proceeding, unless immediate action is reasonably necessary to prevent further damage to the Card. Any such approval will be noted on the Card's Tech Sheet.</w:t>
      </w:r>
    </w:p>
    <w:p>
      <w:pPr>
        <w:pStyle w:val="Heading2"/>
        <w:spacing w:after="120" w:before="280"/>
      </w:pPr>
      <w:r>
        <w:t xml:space="preserve">9. Payment, Lien, and Unclaimed Property</w:t>
      </w:r>
    </w:p>
    <w:p>
      <w:pPr>
        <w:spacing w:after="120"/>
      </w:pPr>
      <w:r>
        <w:rPr>
          <w:b/>
          <w:bCs/>
        </w:rPr>
        <w:t xml:space="preserve">Payment.</w:t>
      </w:r>
      <w:r>
        <w:t xml:space="preserve"> Payment for all Services is due in full within </w:t>
      </w:r>
      <w:r>
        <w:rPr>
          <w:highlight w:val="yellow"/>
          <w:highlightCs w:val="yellow"/>
        </w:rPr>
        <w:t xml:space="preserve">[FOURTEEN (14)]</w:t>
      </w:r>
      <w:r>
        <w:t xml:space="preserve"> calendar days of the Customer being notified that the Services are complete.</w:t>
      </w:r>
    </w:p>
    <w:p>
      <w:pPr>
        <w:spacing w:after="120"/>
      </w:pPr>
      <w:r>
        <w:rPr>
          <w:b/>
          <w:bCs/>
        </w:rPr>
        <w:t xml:space="preserve">Possession pending payment.</w:t>
      </w:r>
      <w:r>
        <w:t xml:space="preserve"> The Service Provider shall retain possession of the Card(s) until payment is received in full. The Customer acknowledges the Service Provider's right to do so, and the Service Provider may exercise any rights and remedies available under applicable law if payment is not timely received.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0A030" w:sz="6"/>
              <w:left w:val="single" w:color="E0A030" w:sz="24"/>
              <w:bottom w:val="single" w:color="E0A030" w:sz="6"/>
              <w:right w:val="single" w:color="E0A030" w:sz="6"/>
            </w:tcBorders>
            <w:shd w:fill="FFF4E5" w:color="auto" w:val="clear"/>
            <w:tcMar>
              <w:top w:type="dxa" w:w="140"/>
              <w:left w:type="dxa" w:w="200"/>
              <w:bottom w:type="dxa" w:w="140"/>
              <w:right w:type="dxa" w:w="200"/>
            </w:tcMar>
          </w:tcPr>
          <w:p>
            <w:pPr>
              <w:spacing w:after="0"/>
            </w:pPr>
            <w:r>
              <w:rPr>
                <w:b/>
                <w:bCs/>
              </w:rPr>
              <w:t xml:space="preserve">Attorney flag:</w:t>
            </w:r>
            <w:r>
              <w:t xml:space="preserve"> Artisan's / repairman's lien statutes are </w:t>
            </w:r>
            <w:r>
              <w:rPr>
                <w:b/>
                <w:bCs/>
              </w:rPr>
              <w:t xml:space="preserve">highly state-specific</w:t>
            </w:r>
            <w:r>
              <w:t xml:space="preserve">. Whether you have a lien, what notice you must give, and whether you may ever sell the property to satisfy the debt are all questions of local law. Do not assume you can sell an unpaid customer's card.</w:t>
            </w:r>
          </w:p>
        </w:tc>
      </w:tr>
    </w:tbl>
    <w:p>
      <w:pPr>
        <w:spacing w:after="120" w:before="160"/>
      </w:pPr>
      <w:r>
        <w:rPr>
          <w:b/>
          <w:bCs/>
        </w:rPr>
        <w:t xml:space="preserve">Unclaimed property.</w:t>
      </w:r>
      <w:r>
        <w:t xml:space="preserve"> (Optional but strongly recommended. You do not want cards in your safe forever.) If the Customer fails to pay or to arrange retrieval of the Card(s) within </w:t>
      </w:r>
      <w:r>
        <w:rPr>
          <w:highlight w:val="yellow"/>
          <w:highlightCs w:val="yellow"/>
        </w:rPr>
        <w:t xml:space="preserve">[NINETY (90)]</w:t>
      </w:r>
      <w:r>
        <w:t xml:space="preserve"> days of the completion notice, the Service Provider may treat the Card(s) as abandoned to the extent permitted by applicable law, after providing </w:t>
      </w:r>
      <w:r>
        <w:rPr>
          <w:highlight w:val="yellow"/>
          <w:highlightCs w:val="yellow"/>
        </w:rPr>
        <w:t xml:space="preserve">[WRITTEN NOTICE TO THE CUSTOMER'S LAST KNOWN ADDRESS AND EMAIL]</w:t>
      </w:r>
      <w: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0A030" w:sz="6"/>
              <w:left w:val="single" w:color="E0A030" w:sz="24"/>
              <w:bottom w:val="single" w:color="E0A030" w:sz="6"/>
              <w:right w:val="single" w:color="E0A030" w:sz="6"/>
            </w:tcBorders>
            <w:shd w:fill="FFF4E5" w:color="auto" w:val="clear"/>
            <w:tcMar>
              <w:top w:type="dxa" w:w="140"/>
              <w:left w:type="dxa" w:w="200"/>
              <w:bottom w:type="dxa" w:w="140"/>
              <w:right w:type="dxa" w:w="200"/>
            </w:tcMar>
          </w:tcPr>
          <w:p>
            <w:pPr>
              <w:spacing w:after="0"/>
            </w:pPr>
            <w:r>
              <w:rPr>
                <w:b/>
                <w:bCs/>
              </w:rPr>
              <w:t xml:space="preserve">Attorney flag:</w:t>
            </w:r>
            <w:r>
              <w:t xml:space="preserve"> State unclaimed-property and abandonment laws override whatever this section says. Verify before relying on it.</w:t>
            </w:r>
          </w:p>
        </w:tc>
      </w:tr>
    </w:tbl>
    <w:p>
      <w:pPr>
        <w:pStyle w:val="Heading2"/>
        <w:spacing w:after="120" w:before="280"/>
      </w:pPr>
      <w:r>
        <w:t xml:space="preserve">10. Cancellation and Refunds</w:t>
      </w:r>
    </w:p>
    <w:p>
      <w:pPr>
        <w:spacing w:after="120"/>
      </w:pPr>
      <w:r>
        <w:t xml:space="preserve">(Optional. Delete if you do not offer cancellation.)</w:t>
      </w:r>
    </w:p>
    <w:p>
      <w:pPr>
        <w:spacing w:after="120"/>
      </w:pPr>
      <w:r>
        <w:t xml:space="preserve">The Customer may cancel the Services at any time before work begins by written notice, and the Card(s) will be returned at </w:t>
      </w:r>
      <w:r>
        <w:rPr>
          <w:highlight w:val="yellow"/>
          <w:highlightCs w:val="yellow"/>
        </w:rPr>
        <w:t xml:space="preserve">[WHOSE]</w:t>
      </w:r>
      <w:r>
        <w:t xml:space="preserve"> expense.</w:t>
      </w:r>
    </w:p>
    <w:p>
      <w:pPr>
        <w:spacing w:after="120"/>
      </w:pPr>
      <w:r>
        <w:t xml:space="preserve">Once work has commenced, </w:t>
      </w:r>
      <w:r>
        <w:rPr>
          <w:highlight w:val="yellow"/>
          <w:highlightCs w:val="yellow"/>
        </w:rPr>
        <w:t xml:space="preserve">[NO REFUNDS WILL BE ISSUED / FEES WILL BE PRORATED AS FOLLOWS: ___]</w:t>
      </w:r>
      <w:r>
        <w:t xml:space="preserve">. The Service Provider may cancel and return the Card(s) at any time, refunding any unearned fees.</w:t>
      </w:r>
    </w:p>
    <w:p>
      <w:pPr>
        <w:pStyle w:val="Heading2"/>
        <w:spacing w:after="120" w:before="280"/>
      </w:pPr>
      <w:r>
        <w:t xml:space="preserve">11. Release of Claims</w:t>
      </w:r>
    </w:p>
    <w:p>
      <w:pPr>
        <w:spacing w:after="120"/>
      </w:pPr>
      <w:r>
        <w:t xml:space="preserve">By submitting Card(s) for repair or restoration, the Customer releases and discharges the Service Provider from claims arising out of or related to the inherent risks of authorized restoration services, </w:t>
      </w:r>
      <w:r>
        <w:rPr>
          <w:b/>
          <w:bCs/>
        </w:rPr>
        <w:t xml:space="preserve">except</w:t>
      </w:r>
      <w:r>
        <w:t xml:space="preserve"> to the extent caused by the Service Provider's gross negligence, willful misconduct, or fraud.</w:t>
      </w:r>
    </w:p>
    <w:p>
      <w:pPr>
        <w:pStyle w:val="Heading2"/>
        <w:spacing w:after="120" w:before="280"/>
      </w:pPr>
      <w:r>
        <w:t xml:space="preserve">12. Customer Ownership, Authority, and Disclosure Obligations</w:t>
      </w:r>
    </w:p>
    <w:p>
      <w:pPr>
        <w:spacing w:after="120"/>
      </w:pPr>
      <w:r>
        <w:rPr>
          <w:b/>
          <w:bCs/>
        </w:rPr>
        <w:t xml:space="preserve">Ownership.</w:t>
      </w:r>
      <w:r>
        <w:t xml:space="preserve"> The Customer represents and warrants that they are the lawful owner of the Card(s) submitted, or that they have full legal authority from the owner to authorize the requested Services. The Service Provider shall not be responsible for disputes regarding ownership or authorization of submitted Card(s).</w:t>
      </w:r>
    </w:p>
    <w:p>
      <w:pPr>
        <w:spacing w:after="120"/>
      </w:pPr>
      <w:r>
        <w:rPr>
          <w:b/>
          <w:bCs/>
        </w:rPr>
        <w:t xml:space="preserve">Disclosure.</w:t>
      </w:r>
      <w:r>
        <w:t xml:space="preserve"> The Customer acknowledges that the Card(s) will have been worked on at the Disclosure Tier recorded on each Card's Tech Sheet, and agrees that </w:t>
      </w:r>
      <w:r>
        <w:rPr>
          <w:b/>
          <w:bCs/>
        </w:rPr>
        <w:t xml:space="preserve">any subsequent sale, trade, consignment, or submission for grading of the Card(s) is the Customer's sole responsibility to disclose accurately</w:t>
      </w:r>
      <w:r>
        <w:t xml:space="preserve"> in accordance with applicable law and the policies of any third-party grading or authentication service.</w:t>
      </w:r>
    </w:p>
    <w:p>
      <w:pPr>
        <w:spacing w:after="120"/>
      </w:pPr>
      <w:r>
        <w:t xml:space="preserve">The Service Provider does not authorize, and expressly disclaims any participation in, the misrepresentation of restored Card(s) as unrestored. The Customer agrees to indemnify and hold harmless the Service Provider from any claim arising out of the Customer's failure to disclose restoration.</w:t>
      </w:r>
    </w:p>
    <w:p>
      <w:pPr>
        <w:pStyle w:val="Heading2"/>
        <w:spacing w:after="120" w:before="280"/>
      </w:pPr>
      <w:r>
        <w:t xml:space="preserve">13. Good-Faith Customer Care</w:t>
      </w:r>
    </w:p>
    <w:p>
      <w:pPr>
        <w:spacing w:after="120"/>
      </w:pPr>
      <w:r>
        <w:t xml:space="preserve">While this Agreement limits liability, the Service Provider values transparency and customer satisfaction. Any concerns should be communicated promptly, and the Service Provider may, at its sole discretion, elect to address issues as a customer service courtesy. Nothing in this Agreement shall be interpreted as an obligation to provide refunds, replacements, or compensation.</w:t>
      </w:r>
    </w:p>
    <w:p>
      <w:pPr>
        <w:pStyle w:val="Heading2"/>
        <w:spacing w:after="120" w:before="280"/>
      </w:pPr>
      <w:r>
        <w:t xml:space="preserve">14. Photography and Documentation</w:t>
      </w:r>
    </w:p>
    <w:p>
      <w:pPr>
        <w:spacing w:after="120"/>
      </w:pPr>
      <w:r>
        <w:t xml:space="preserve">(Optional. If you post before/after shots on YouTube, Instagram, or a Patreon, you want this.)</w:t>
      </w:r>
    </w:p>
    <w:p>
      <w:pPr>
        <w:spacing w:after="120"/>
      </w:pPr>
      <w:r>
        <w:t xml:space="preserve">The Service Provider may photograph or record the Card(s) before, during, and after the Services for documentation, quality control, and portfolio, educational, or promotional purposes.</w:t>
      </w:r>
    </w:p>
    <w:p>
      <w:pPr>
        <w:spacing w:after="120"/>
      </w:pPr>
      <w:r>
        <w:t xml:space="preserve">Unless the Customer objects in writing before work begins, the Customer grants the Service Provider a non-exclusive, royalty-free license to use such images and recordings. </w:t>
      </w:r>
      <w:r>
        <w:rPr>
          <w:highlight w:val="yellow"/>
          <w:highlightCs w:val="yellow"/>
        </w:rPr>
        <w:t xml:space="preserve">[PERSONALLY IDENTIFYING INFORMATION WILL BE EXCLUDED / THE CUSTOMER WILL NOT BE IDENTIFIED BY NAME.]</w:t>
      </w:r>
    </w:p>
    <w:p>
      <w:pPr>
        <w:pStyle w:val="Heading2"/>
        <w:spacing w:after="120" w:before="280"/>
      </w:pPr>
      <w:r>
        <w:t xml:space="preserve">15. Electronic Acceptance and Communications</w:t>
      </w:r>
    </w:p>
    <w:p>
      <w:pPr>
        <w:spacing w:after="120"/>
      </w:pPr>
      <w:r>
        <w:t xml:space="preserve">The Customer acknowledges and agrees that this Agreement, including Schedule A, may be delivered, accepted, and executed electronically.</w:t>
      </w:r>
    </w:p>
    <w:p>
      <w:pPr>
        <w:pStyle w:val="ListParagraph"/>
        <w:numPr>
          <w:ilvl w:val="0"/>
          <w:numId w:val="2"/>
        </w:numPr>
        <w:spacing w:after="80"/>
      </w:pPr>
      <w:r>
        <w:t xml:space="preserve">Agreement to these terms may be confirmed by email response or other written electronic communication indicating acceptance.</w:t>
      </w:r>
    </w:p>
    <w:p>
      <w:pPr>
        <w:pStyle w:val="ListParagraph"/>
        <w:numPr>
          <w:ilvl w:val="0"/>
          <w:numId w:val="2"/>
        </w:numPr>
        <w:spacing w:after="80"/>
      </w:pPr>
      <w:r>
        <w:t xml:space="preserve">Typed initials or a typed name on Schedule A returned by email shall have the same effect as handwritten initials.</w:t>
      </w:r>
    </w:p>
    <w:p>
      <w:pPr>
        <w:pStyle w:val="ListParagraph"/>
        <w:numPr>
          <w:ilvl w:val="0"/>
          <w:numId w:val="2"/>
        </w:numPr>
        <w:spacing w:after="80"/>
      </w:pPr>
      <w:r>
        <w:t xml:space="preserve">Such electronic acceptance shall be deemed legally binding and equivalent to a handwritten signature.</w:t>
      </w:r>
    </w:p>
    <w:p>
      <w:pPr>
        <w:pStyle w:val="ListParagraph"/>
        <w:numPr>
          <w:ilvl w:val="0"/>
          <w:numId w:val="2"/>
        </w:numPr>
        <w:spacing w:after="80"/>
      </w:pPr>
      <w:r>
        <w:t xml:space="preserve">No physical signature is required for this Agreement to be valid and enforceable.</w:t>
      </w:r>
    </w:p>
    <w:p>
      <w:pPr>
        <w:pStyle w:val="Heading2"/>
        <w:spacing w:after="120" w:before="280"/>
      </w:pPr>
      <w:r>
        <w:t xml:space="preserve">16. Governing Law, Venue, and Dispute Resolution</w:t>
      </w:r>
    </w:p>
    <w:p>
      <w:pPr>
        <w:spacing w:after="120"/>
      </w:pPr>
      <w:r>
        <w:t xml:space="preserve">This Agreement shall be governed by and construed in accordance with the laws of the </w:t>
      </w:r>
      <w:r>
        <w:rPr>
          <w:highlight w:val="yellow"/>
          <w:highlightCs w:val="yellow"/>
        </w:rPr>
        <w:t xml:space="preserve">[STATE/PROVINCE/COUNTRY]</w:t>
      </w:r>
      <w:r>
        <w:t xml:space="preserve">, without regard to conflict-of-law principles.</w:t>
      </w:r>
    </w:p>
    <w:p>
      <w:pPr>
        <w:spacing w:after="120"/>
      </w:pPr>
      <w:r>
        <w:t xml:space="preserve">Any dispute arising out of or relating to this Agreement or the Services shall be brought exclusively in the </w:t>
      </w:r>
      <w:r>
        <w:rPr>
          <w:highlight w:val="yellow"/>
          <w:highlightCs w:val="yellow"/>
        </w:rPr>
        <w:t xml:space="preserve">[STATE OR FEDERAL COURTS LOCATED WITHIN STATE]</w:t>
      </w:r>
      <w:r>
        <w:t xml:space="preserve">, and the Customer consents to such jurisdiction and venue.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0A030" w:sz="6"/>
              <w:left w:val="single" w:color="E0A030" w:sz="24"/>
              <w:bottom w:val="single" w:color="E0A030" w:sz="6"/>
              <w:right w:val="single" w:color="E0A030" w:sz="6"/>
            </w:tcBorders>
            <w:shd w:fill="FFF4E5" w:color="auto" w:val="clear"/>
            <w:tcMar>
              <w:top w:type="dxa" w:w="140"/>
              <w:left w:type="dxa" w:w="200"/>
              <w:bottom w:type="dxa" w:w="140"/>
              <w:right w:type="dxa" w:w="200"/>
            </w:tcMar>
          </w:tcPr>
          <w:p>
            <w:pPr>
              <w:spacing w:after="0"/>
            </w:pPr>
            <w:r>
              <w:rPr>
                <w:b/>
                <w:bCs/>
              </w:rPr>
              <w:t xml:space="preserve">Attorney flag:</w:t>
            </w:r>
            <w:r>
              <w:t xml:space="preserve"> Forum-selection and choice-of-law clauses are frequently unenforceable against out-of-state or foreign consumers. If you take international work, this section needs specific attention. Arbitration clauses and class-action waivers are a separate decision with real trade-offs. Do not add one from a form without advice.</w:t>
            </w:r>
          </w:p>
        </w:tc>
      </w:tr>
    </w:tbl>
    <w:p>
      <w:pPr>
        <w:pStyle w:val="Heading2"/>
        <w:spacing w:after="120" w:before="280"/>
      </w:pPr>
      <w:r>
        <w:t xml:space="preserve">17. Severability</w:t>
      </w:r>
    </w:p>
    <w:p>
      <w:pPr>
        <w:spacing w:after="120"/>
      </w:pPr>
      <w:r>
        <w:t xml:space="preserve">If any provision of this Agreement is determined by a court of competent jurisdiction to be invalid, illegal, or unenforceable, that provision shall be enforced to the maximum extent permitted by law, and the remaining provisions shall remain in full force and effect.</w:t>
      </w:r>
    </w:p>
    <w:p>
      <w:pPr>
        <w:pStyle w:val="Heading2"/>
        <w:spacing w:after="120" w:before="280"/>
      </w:pPr>
      <w:r>
        <w:t xml:space="preserve">18. Entire Agreement</w:t>
      </w:r>
    </w:p>
    <w:p>
      <w:pPr>
        <w:spacing w:after="120"/>
      </w:pPr>
      <w:r>
        <w:t xml:space="preserve">This Agreement, together with Schedule A and each Card's Conservation Tech Sheet, constitutes the entire understanding between the Customer and the Service Provider with respect to the Services. It supersedes all prior or contemporaneous discussions, representations, understandings, negotiations, and agreements, whether oral or written, relating to the subject matter of this Agreement.</w:t>
      </w:r>
    </w:p>
    <w:p>
      <w:pPr>
        <w:spacing w:after="120"/>
      </w:pPr>
      <w:r>
        <w:t xml:space="preserve">No amendment, modification, or waiver of any provision shall be effective unless made in writing and agreed to by both parties.</w:t>
      </w:r>
    </w:p>
    <w:p>
      <w:pPr>
        <w:pStyle w:val="Heading2"/>
        <w:spacing w:after="120" w:before="280"/>
      </w:pPr>
      <w:r>
        <w:t xml:space="preserve">19. Acceptance of Agreement</w:t>
      </w:r>
    </w:p>
    <w:p>
      <w:pPr>
        <w:spacing w:after="120"/>
      </w:pPr>
      <w:r>
        <w:t xml:space="preserve">By replying to the accompanying email, checking the acceptance box on the Service Provider's intake form, returning a completed Schedule A, or otherwise submitting Card(s) for repair or restoration services, the Customer affirms that they have </w:t>
      </w:r>
      <w:r>
        <w:rPr>
          <w:b/>
          <w:bCs/>
        </w:rPr>
        <w:t xml:space="preserve">read, understood, and voluntarily agreed</w:t>
      </w:r>
      <w:r>
        <w:t xml:space="preserve"> to the terms of this Agreement in full.</w:t>
      </w:r>
    </w:p>
    <w:p>
      <w:pPr>
        <w:tabs>
          <w:tab w:val="right" w:pos="9360" w:leader="underscore"/>
        </w:tabs>
        <w:spacing w:after="60" w:before="200"/>
      </w:pPr>
      <w:r>
        <w:rPr>
          <w:b/>
          <w:bCs/>
        </w:rPr>
        <w:t xml:space="preserve">Customer name: </w:t>
      </w:r>
      <w:r>
        <w:t xml:space="preserve">	</w:t>
      </w:r>
    </w:p>
    <w:p>
      <w:pPr>
        <w:tabs>
          <w:tab w:val="right" w:pos="9360" w:leader="underscore"/>
        </w:tabs>
        <w:spacing w:after="60" w:before="200"/>
      </w:pPr>
      <w:r>
        <w:rPr>
          <w:b/>
          <w:bCs/>
        </w:rPr>
        <w:t xml:space="preserve">Customer signature: </w:t>
      </w:r>
      <w:r>
        <w:t xml:space="preserve">	</w:t>
      </w:r>
    </w:p>
    <w:p>
      <w:pPr>
        <w:tabs>
          <w:tab w:val="right" w:pos="9360" w:leader="underscore"/>
        </w:tabs>
        <w:spacing w:after="60" w:before="200"/>
      </w:pPr>
      <w:r>
        <w:rPr>
          <w:b/>
          <w:bCs/>
        </w:rPr>
        <w:t xml:space="preserve">Date of acceptance: </w:t>
      </w:r>
      <w:r>
        <w:t xml:space="preserve">	</w:t>
      </w:r>
    </w:p>
    <w:p>
      <w:pPr>
        <w:tabs>
          <w:tab w:val="right" w:pos="9360" w:leader="underscore"/>
        </w:tabs>
        <w:spacing w:after="60" w:before="200"/>
      </w:pPr>
      <w:r>
        <w:rPr>
          <w:b/>
          <w:bCs/>
        </w:rPr>
        <w:t xml:space="preserve">Method of acceptance (email reply / e-signature / intake form): </w:t>
      </w:r>
      <w:r>
        <w:t xml:space="preserve">	</w:t>
      </w:r>
    </w:p>
    <w:p>
      <w:pPr>
        <w:tabs>
          <w:tab w:val="right" w:pos="9360" w:leader="underscore"/>
        </w:tabs>
        <w:spacing w:after="60" w:before="200"/>
      </w:pPr>
      <w:r>
        <w:rPr>
          <w:b/>
          <w:bCs/>
        </w:rPr>
        <w:t xml:space="preserve">Service Provider: </w:t>
      </w:r>
      <w:r>
        <w:t xml:space="preserve">	</w:t>
      </w:r>
    </w:p>
    <w:p>
      <w:r>
        <w:br w:type="page"/>
      </w:r>
    </w:p>
    <w:p>
      <w:pPr>
        <w:spacing w:after="40"/>
        <w:jc w:val="center"/>
      </w:pPr>
      <w:r>
        <w:rPr>
          <w:b/>
          <w:bCs/>
          <w:sz w:val="36"/>
          <w:szCs w:val="36"/>
        </w:rPr>
        <w:t xml:space="preserve">Schedule A</w:t>
      </w:r>
    </w:p>
    <w:p>
      <w:pPr>
        <w:spacing w:after="240"/>
        <w:jc w:val="center"/>
      </w:pPr>
      <w:r>
        <w:rPr>
          <w:b/>
          <w:bCs/>
          <w:sz w:val="28"/>
          <w:szCs w:val="28"/>
        </w:rPr>
        <w:t xml:space="preserve">Scope of Work and Tier Authorization</w:t>
      </w:r>
    </w:p>
    <w:p>
      <w:pPr>
        <w:spacing w:after="120"/>
      </w:pPr>
      <w:r>
        <w:t xml:space="preserve">This Schedule is part of the Card Repair and Restoration Service Agreement between </w:t>
      </w:r>
      <w:r>
        <w:rPr>
          <w:highlight w:val="yellow"/>
          <w:highlightCs w:val="yellow"/>
        </w:rPr>
        <w:t xml:space="preserve">[YOUR LEGAL BUSINESS NAME]</w:t>
      </w:r>
      <w:r>
        <w:t xml:space="preserve"> and </w:t>
      </w:r>
      <w:r>
        <w:rPr>
          <w:highlight w:val="yellow"/>
          <w:highlightCs w:val="yellow"/>
        </w:rPr>
        <w:t xml:space="preserve">[CUSTOMER NAME]</w:t>
      </w:r>
      <w:r>
        <w:t xml:space="preserve">. Complete one row per Card. Attach additional sheets if needed.</w:t>
      </w:r>
    </w:p>
    <w:p>
      <w:pPr>
        <w:pStyle w:val="Heading3"/>
        <w:spacing w:after="80" w:before="200"/>
      </w:pPr>
      <w:r>
        <w:t xml:space="preserve">The three Disclosure Tiers</w:t>
      </w:r>
    </w:p>
    <w:p>
      <w:pPr>
        <w:spacing w:after="120"/>
      </w:pPr>
      <w:r>
        <w:t xml:space="preserve">Every process a restorer can perform on a card falls into one of three tiers. The tiers describe how detectable the work is and what must be disclosed when the card is sold or graded. They match the tiers printed on the Conservation Tech Sheet that travels with each Card.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700"/>
        <w:gridCol w:w="2900"/>
        <w:gridCol w:w="2700"/>
        <w:gridCol w:w="1360"/>
      </w:tblGrid>
      <w:tr>
        <w:trPr>
          <w:tblHeader/>
        </w:trPr>
        <w:tc>
          <w:tcPr>
            <w:tcW w:type="dxa" w:w="700"/>
            <w:shd w:fill="E8E8E8" w:color="auto" w:val="clear"/>
            <w:tcMar>
              <w:top w:type="dxa" w:w="80"/>
              <w:left w:type="dxa" w:w="100"/>
              <w:bottom w:type="dxa" w:w="80"/>
              <w:right w:type="dxa" w:w="100"/>
            </w:tcMar>
            <w:vAlign w:val="center"/>
          </w:tcPr>
          <w:p>
            <w:pPr>
              <w:jc w:val="left"/>
            </w:pPr>
            <w:r>
              <w:rPr>
                <w:b/>
                <w:bCs/>
                <w:sz w:val="18"/>
                <w:szCs w:val="18"/>
              </w:rPr>
              <w:t xml:space="preserve">Tier</w:t>
            </w:r>
          </w:p>
        </w:tc>
        <w:tc>
          <w:tcPr>
            <w:tcW w:type="dxa" w:w="1700"/>
            <w:shd w:fill="E8E8E8" w:color="auto" w:val="clear"/>
            <w:tcMar>
              <w:top w:type="dxa" w:w="80"/>
              <w:left w:type="dxa" w:w="100"/>
              <w:bottom w:type="dxa" w:w="80"/>
              <w:right w:type="dxa" w:w="100"/>
            </w:tcMar>
            <w:vAlign w:val="center"/>
          </w:tcPr>
          <w:p>
            <w:pPr>
              <w:jc w:val="left"/>
            </w:pPr>
            <w:r>
              <w:rPr>
                <w:b/>
                <w:bCs/>
                <w:sz w:val="18"/>
                <w:szCs w:val="18"/>
              </w:rPr>
              <w:t xml:space="preserve">Name</w:t>
            </w:r>
          </w:p>
        </w:tc>
        <w:tc>
          <w:tcPr>
            <w:tcW w:type="dxa" w:w="2900"/>
            <w:shd w:fill="E8E8E8" w:color="auto" w:val="clear"/>
            <w:tcMar>
              <w:top w:type="dxa" w:w="80"/>
              <w:left w:type="dxa" w:w="100"/>
              <w:bottom w:type="dxa" w:w="80"/>
              <w:right w:type="dxa" w:w="100"/>
            </w:tcMar>
            <w:vAlign w:val="center"/>
          </w:tcPr>
          <w:p>
            <w:pPr>
              <w:jc w:val="left"/>
            </w:pPr>
            <w:r>
              <w:rPr>
                <w:b/>
                <w:bCs/>
                <w:sz w:val="18"/>
                <w:szCs w:val="18"/>
              </w:rPr>
              <w:t xml:space="preserve">What it means</w:t>
            </w:r>
          </w:p>
        </w:tc>
        <w:tc>
          <w:tcPr>
            <w:tcW w:type="dxa" w:w="2700"/>
            <w:shd w:fill="E8E8E8" w:color="auto" w:val="clear"/>
            <w:tcMar>
              <w:top w:type="dxa" w:w="80"/>
              <w:left w:type="dxa" w:w="100"/>
              <w:bottom w:type="dxa" w:w="80"/>
              <w:right w:type="dxa" w:w="100"/>
            </w:tcMar>
            <w:vAlign w:val="center"/>
          </w:tcPr>
          <w:p>
            <w:pPr>
              <w:jc w:val="left"/>
            </w:pPr>
            <w:r>
              <w:rPr>
                <w:b/>
                <w:bCs/>
                <w:sz w:val="18"/>
                <w:szCs w:val="18"/>
              </w:rPr>
              <w:t xml:space="preserve">Typical processes</w:t>
            </w:r>
          </w:p>
        </w:tc>
        <w:tc>
          <w:tcPr>
            <w:tcW w:type="dxa" w:w="1360"/>
            <w:shd w:fill="E8E8E8" w:color="auto" w:val="clear"/>
            <w:tcMar>
              <w:top w:type="dxa" w:w="80"/>
              <w:left w:type="dxa" w:w="100"/>
              <w:bottom w:type="dxa" w:w="80"/>
              <w:right w:type="dxa" w:w="100"/>
            </w:tcMar>
            <w:vAlign w:val="center"/>
          </w:tcPr>
          <w:p>
            <w:pPr>
              <w:jc w:val="left"/>
            </w:pPr>
            <w:r>
              <w:rPr>
                <w:b/>
                <w:bCs/>
                <w:sz w:val="18"/>
                <w:szCs w:val="18"/>
              </w:rPr>
              <w:t xml:space="preserve">Risk</w:t>
            </w:r>
          </w:p>
        </w:tc>
      </w:tr>
      <w:tr>
        <w:tc>
          <w:tcPr>
            <w:tcW w:type="dxa" w:w="700"/>
            <w:tcMar>
              <w:top w:type="dxa" w:w="80"/>
              <w:left w:type="dxa" w:w="100"/>
              <w:bottom w:type="dxa" w:w="80"/>
              <w:right w:type="dxa" w:w="100"/>
            </w:tcMar>
            <w:vAlign w:val="center"/>
          </w:tcPr>
          <w:p>
            <w:pPr>
              <w:jc w:val="left"/>
            </w:pPr>
            <w:r>
              <w:rPr>
                <w:b w:val="false"/>
                <w:bCs w:val="false"/>
                <w:sz w:val="18"/>
                <w:szCs w:val="18"/>
              </w:rPr>
              <w:t xml:space="preserve">I</w:t>
            </w:r>
          </w:p>
        </w:tc>
        <w:tc>
          <w:tcPr>
            <w:tcW w:type="dxa" w:w="1700"/>
            <w:tcMar>
              <w:top w:type="dxa" w:w="80"/>
              <w:left w:type="dxa" w:w="100"/>
              <w:bottom w:type="dxa" w:w="80"/>
              <w:right w:type="dxa" w:w="100"/>
            </w:tcMar>
            <w:vAlign w:val="center"/>
          </w:tcPr>
          <w:p>
            <w:pPr>
              <w:jc w:val="left"/>
            </w:pPr>
            <w:r>
              <w:rPr>
                <w:b w:val="false"/>
                <w:bCs w:val="false"/>
                <w:sz w:val="18"/>
                <w:szCs w:val="18"/>
              </w:rPr>
              <w:t xml:space="preserve">CONSERVATION</w:t>
            </w:r>
          </w:p>
        </w:tc>
        <w:tc>
          <w:tcPr>
            <w:tcW w:type="dxa" w:w="2900"/>
            <w:tcMar>
              <w:top w:type="dxa" w:w="80"/>
              <w:left w:type="dxa" w:w="100"/>
              <w:bottom w:type="dxa" w:w="80"/>
              <w:right w:type="dxa" w:w="100"/>
            </w:tcMar>
            <w:vAlign w:val="center"/>
          </w:tcPr>
          <w:p>
            <w:pPr>
              <w:jc w:val="left"/>
            </w:pPr>
            <w:r>
              <w:rPr>
                <w:b w:val="false"/>
                <w:bCs w:val="false"/>
                <w:sz w:val="18"/>
                <w:szCs w:val="18"/>
              </w:rPr>
              <w:t xml:space="preserve">Non-additive. Nothing added to or removed from the Card. Leaves no trace. Intended to be grader-safe.</w:t>
            </w:r>
          </w:p>
        </w:tc>
        <w:tc>
          <w:tcPr>
            <w:tcW w:type="dxa" w:w="2700"/>
            <w:tcMar>
              <w:top w:type="dxa" w:w="80"/>
              <w:left w:type="dxa" w:w="100"/>
              <w:bottom w:type="dxa" w:w="80"/>
              <w:right w:type="dxa" w:w="100"/>
            </w:tcMar>
            <w:vAlign w:val="center"/>
          </w:tcPr>
          <w:p>
            <w:pPr>
              <w:jc w:val="left"/>
            </w:pPr>
            <w:r>
              <w:rPr>
                <w:b w:val="false"/>
                <w:bCs w:val="false"/>
                <w:sz w:val="18"/>
                <w:szCs w:val="18"/>
              </w:rPr>
              <w:t xml:space="preserve">Dry cleaning, cold press, humidor, humidity stack, hydration and drying, tool work on bends.</w:t>
            </w:r>
          </w:p>
        </w:tc>
        <w:tc>
          <w:tcPr>
            <w:tcW w:type="dxa" w:w="1360"/>
            <w:tcMar>
              <w:top w:type="dxa" w:w="80"/>
              <w:left w:type="dxa" w:w="100"/>
              <w:bottom w:type="dxa" w:w="80"/>
              <w:right w:type="dxa" w:w="100"/>
            </w:tcMar>
            <w:vAlign w:val="center"/>
          </w:tcPr>
          <w:p>
            <w:pPr>
              <w:jc w:val="left"/>
            </w:pPr>
            <w:r>
              <w:rPr>
                <w:b w:val="false"/>
                <w:bCs w:val="false"/>
                <w:sz w:val="18"/>
                <w:szCs w:val="18"/>
              </w:rPr>
              <w:t xml:space="preserve">Lowest. Still not guaranteed.</w:t>
            </w:r>
          </w:p>
        </w:tc>
      </w:tr>
      <w:tr>
        <w:tc>
          <w:tcPr>
            <w:tcW w:type="dxa" w:w="700"/>
            <w:tcMar>
              <w:top w:type="dxa" w:w="80"/>
              <w:left w:type="dxa" w:w="100"/>
              <w:bottom w:type="dxa" w:w="80"/>
              <w:right w:type="dxa" w:w="100"/>
            </w:tcMar>
            <w:vAlign w:val="center"/>
          </w:tcPr>
          <w:p>
            <w:pPr>
              <w:jc w:val="left"/>
            </w:pPr>
            <w:r>
              <w:rPr>
                <w:b w:val="false"/>
                <w:bCs w:val="false"/>
                <w:sz w:val="18"/>
                <w:szCs w:val="18"/>
              </w:rPr>
              <w:t xml:space="preserve">II</w:t>
            </w:r>
          </w:p>
        </w:tc>
        <w:tc>
          <w:tcPr>
            <w:tcW w:type="dxa" w:w="1700"/>
            <w:tcMar>
              <w:top w:type="dxa" w:w="80"/>
              <w:left w:type="dxa" w:w="100"/>
              <w:bottom w:type="dxa" w:w="80"/>
              <w:right w:type="dxa" w:w="100"/>
            </w:tcMar>
            <w:vAlign w:val="center"/>
          </w:tcPr>
          <w:p>
            <w:pPr>
              <w:jc w:val="left"/>
            </w:pPr>
            <w:r>
              <w:rPr>
                <w:b w:val="false"/>
                <w:bCs w:val="false"/>
                <w:sz w:val="18"/>
                <w:szCs w:val="18"/>
              </w:rPr>
              <w:t xml:space="preserve">RESTORATION</w:t>
            </w:r>
          </w:p>
        </w:tc>
        <w:tc>
          <w:tcPr>
            <w:tcW w:type="dxa" w:w="2900"/>
            <w:tcMar>
              <w:top w:type="dxa" w:w="80"/>
              <w:left w:type="dxa" w:w="100"/>
              <w:bottom w:type="dxa" w:w="80"/>
              <w:right w:type="dxa" w:w="100"/>
            </w:tcMar>
            <w:vAlign w:val="center"/>
          </w:tcPr>
          <w:p>
            <w:pPr>
              <w:jc w:val="left"/>
            </w:pPr>
            <w:r>
              <w:rPr>
                <w:b w:val="false"/>
                <w:bCs w:val="false"/>
                <w:sz w:val="18"/>
                <w:szCs w:val="18"/>
              </w:rPr>
              <w:t xml:space="preserve">Could leave traces detectable under a loupe or UV light. Must be disclosed on sale.</w:t>
            </w:r>
          </w:p>
        </w:tc>
        <w:tc>
          <w:tcPr>
            <w:tcW w:type="dxa" w:w="2700"/>
            <w:tcMar>
              <w:top w:type="dxa" w:w="80"/>
              <w:left w:type="dxa" w:w="100"/>
              <w:bottom w:type="dxa" w:w="80"/>
              <w:right w:type="dxa" w:w="100"/>
            </w:tcMar>
            <w:vAlign w:val="center"/>
          </w:tcPr>
          <w:p>
            <w:pPr>
              <w:jc w:val="left"/>
            </w:pPr>
            <w:r>
              <w:rPr>
                <w:b w:val="false"/>
                <w:bCs w:val="false"/>
                <w:sz w:val="18"/>
                <w:szCs w:val="18"/>
              </w:rPr>
              <w:t xml:space="preserve">Heat press, scratch reduction, surface cleaning with solvents, gloss recovery.</w:t>
            </w:r>
          </w:p>
        </w:tc>
        <w:tc>
          <w:tcPr>
            <w:tcW w:type="dxa" w:w="1360"/>
            <w:tcMar>
              <w:top w:type="dxa" w:w="80"/>
              <w:left w:type="dxa" w:w="100"/>
              <w:bottom w:type="dxa" w:w="80"/>
              <w:right w:type="dxa" w:w="100"/>
            </w:tcMar>
            <w:vAlign w:val="center"/>
          </w:tcPr>
          <w:p>
            <w:pPr>
              <w:jc w:val="left"/>
            </w:pPr>
            <w:r>
              <w:rPr>
                <w:b w:val="false"/>
                <w:bCs w:val="false"/>
                <w:sz w:val="18"/>
                <w:szCs w:val="18"/>
              </w:rPr>
              <w:t xml:space="preserve">Moderate. May be flagged by graders.</w:t>
            </w:r>
          </w:p>
        </w:tc>
      </w:tr>
      <w:tr>
        <w:tc>
          <w:tcPr>
            <w:tcW w:type="dxa" w:w="700"/>
            <w:tcMar>
              <w:top w:type="dxa" w:w="80"/>
              <w:left w:type="dxa" w:w="100"/>
              <w:bottom w:type="dxa" w:w="80"/>
              <w:right w:type="dxa" w:w="100"/>
            </w:tcMar>
            <w:vAlign w:val="center"/>
          </w:tcPr>
          <w:p>
            <w:pPr>
              <w:jc w:val="left"/>
            </w:pPr>
            <w:r>
              <w:rPr>
                <w:b w:val="false"/>
                <w:bCs w:val="false"/>
                <w:sz w:val="18"/>
                <w:szCs w:val="18"/>
              </w:rPr>
              <w:t xml:space="preserve">III</w:t>
            </w:r>
          </w:p>
        </w:tc>
        <w:tc>
          <w:tcPr>
            <w:tcW w:type="dxa" w:w="1700"/>
            <w:tcMar>
              <w:top w:type="dxa" w:w="80"/>
              <w:left w:type="dxa" w:w="100"/>
              <w:bottom w:type="dxa" w:w="80"/>
              <w:right w:type="dxa" w:w="100"/>
            </w:tcMar>
            <w:vAlign w:val="center"/>
          </w:tcPr>
          <w:p>
            <w:pPr>
              <w:jc w:val="left"/>
            </w:pPr>
            <w:r>
              <w:rPr>
                <w:b w:val="false"/>
                <w:bCs w:val="false"/>
                <w:sz w:val="18"/>
                <w:szCs w:val="18"/>
              </w:rPr>
              <w:t xml:space="preserve">ALTERATION</w:t>
            </w:r>
          </w:p>
        </w:tc>
        <w:tc>
          <w:tcPr>
            <w:tcW w:type="dxa" w:w="2900"/>
            <w:tcMar>
              <w:top w:type="dxa" w:w="80"/>
              <w:left w:type="dxa" w:w="100"/>
              <w:bottom w:type="dxa" w:w="80"/>
              <w:right w:type="dxa" w:w="100"/>
            </w:tcMar>
            <w:vAlign w:val="center"/>
          </w:tcPr>
          <w:p>
            <w:pPr>
              <w:jc w:val="left"/>
            </w:pPr>
            <w:r>
              <w:rPr>
                <w:b w:val="false"/>
                <w:bCs w:val="false"/>
                <w:sz w:val="18"/>
                <w:szCs w:val="18"/>
              </w:rPr>
              <w:t xml:space="preserve">Material added or removed, or the surface chemically changed. </w:t>
            </w:r>
            <w:r>
              <w:rPr>
                <w:b w:val="false"/>
                <w:bCs w:val="false"/>
                <w:sz w:val="18"/>
                <w:szCs w:val="18"/>
              </w:rPr>
              <w:t xml:space="preserve">High grading rejection risk.</w:t>
            </w:r>
            <w:r>
              <w:rPr>
                <w:b w:val="false"/>
                <w:bCs w:val="false"/>
                <w:sz w:val="18"/>
                <w:szCs w:val="18"/>
              </w:rPr>
              <w:t xml:space="preserve"> Must be disclosed on sale.</w:t>
            </w:r>
          </w:p>
        </w:tc>
        <w:tc>
          <w:tcPr>
            <w:tcW w:type="dxa" w:w="2700"/>
            <w:tcMar>
              <w:top w:type="dxa" w:w="80"/>
              <w:left w:type="dxa" w:w="100"/>
              <w:bottom w:type="dxa" w:w="80"/>
              <w:right w:type="dxa" w:w="100"/>
            </w:tcMar>
            <w:vAlign w:val="center"/>
          </w:tcPr>
          <w:p>
            <w:pPr>
              <w:jc w:val="left"/>
            </w:pPr>
            <w:r>
              <w:rPr>
                <w:b w:val="false"/>
                <w:bCs w:val="false"/>
                <w:sz w:val="18"/>
                <w:szCs w:val="18"/>
              </w:rPr>
              <w:t xml:space="preserve">Delamination repair, rosin press, rebacking, scratch fill, UV gloss, corner rebuild, recolor, trim or recut.</w:t>
            </w:r>
          </w:p>
        </w:tc>
        <w:tc>
          <w:tcPr>
            <w:tcW w:type="dxa" w:w="1360"/>
            <w:tcMar>
              <w:top w:type="dxa" w:w="80"/>
              <w:left w:type="dxa" w:w="100"/>
              <w:bottom w:type="dxa" w:w="80"/>
              <w:right w:type="dxa" w:w="100"/>
            </w:tcMar>
            <w:vAlign w:val="center"/>
          </w:tcPr>
          <w:p>
            <w:pPr>
              <w:jc w:val="left"/>
            </w:pPr>
            <w:r>
              <w:rPr>
                <w:b w:val="false"/>
                <w:bCs w:val="false"/>
                <w:sz w:val="18"/>
                <w:szCs w:val="18"/>
              </w:rPr>
              <w:t xml:space="preserve">Highest. Expect graders to reject or label as altered.</w:t>
            </w:r>
          </w:p>
        </w:tc>
      </w:tr>
    </w:tbl>
    <w:p>
      <w:pPr>
        <w:spacing w:after="200" w:before="160"/>
      </w:pPr>
      <w:r>
        <w:t xml:space="preserve">A tier is about </w:t>
      </w:r>
      <w:r>
        <w:rPr>
          <w:b/>
          <w:bCs/>
        </w:rPr>
        <w:t xml:space="preserve">disclosure, not permission</w:t>
      </w:r>
      <w:r>
        <w:t xml:space="preserve">. Tier III work is not fraud. Selling Tier III work as untouched is.</w:t>
      </w:r>
    </w:p>
    <w:p>
      <w:pPr>
        <w:pStyle w:val="Heading3"/>
        <w:spacing w:after="80" w:before="200"/>
      </w:pPr>
      <w:r>
        <w:t xml:space="preserve">Card-by-card authorization</w:t>
      </w:r>
    </w:p>
    <w:p>
      <w:pPr>
        <w:spacing w:after="120"/>
      </w:pPr>
      <w:r>
        <w:t xml:space="preserve">For each Card, the Customer initials in the box for the </w:t>
      </w:r>
      <w:r>
        <w:rPr>
          <w:b/>
          <w:bCs/>
        </w:rPr>
        <w:t xml:space="preserve">highest tier they authorize</w:t>
      </w:r>
      <w:r>
        <w:t xml:space="preserve">. The Service Provider may perform work at that tier or any lower tier, and may not go higher without written approval (Section 8). The Tech Sheet No. is assigned by the Service Provider at intake and links this row to that Card's Conservation Tech 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560"/>
        <w:gridCol w:w="1100"/>
        <w:gridCol w:w="1000"/>
        <w:gridCol w:w="1400"/>
        <w:gridCol w:w="1400"/>
        <w:gridCol w:w="1500"/>
      </w:tblGrid>
      <w:tr>
        <w:trPr>
          <w:tblHeader/>
        </w:trPr>
        <w:tc>
          <w:tcPr>
            <w:tcW w:type="dxa" w:w="400"/>
            <w:shd w:fill="E8E8E8" w:color="auto" w:val="clear"/>
            <w:tcMar>
              <w:top w:type="dxa" w:w="80"/>
              <w:left w:type="dxa" w:w="100"/>
              <w:bottom w:type="dxa" w:w="80"/>
              <w:right w:type="dxa" w:w="100"/>
            </w:tcMar>
            <w:vAlign w:val="center"/>
          </w:tcPr>
          <w:p>
            <w:pPr>
              <w:jc w:val="left"/>
            </w:pPr>
            <w:r>
              <w:rPr>
                <w:b/>
                <w:bCs/>
                <w:sz w:val="18"/>
                <w:szCs w:val="18"/>
              </w:rPr>
              <w:t xml:space="preserve">#</w:t>
            </w:r>
          </w:p>
        </w:tc>
        <w:tc>
          <w:tcPr>
            <w:tcW w:type="dxa" w:w="2560"/>
            <w:shd w:fill="E8E8E8" w:color="auto" w:val="clear"/>
            <w:tcMar>
              <w:top w:type="dxa" w:w="80"/>
              <w:left w:type="dxa" w:w="100"/>
              <w:bottom w:type="dxa" w:w="80"/>
              <w:right w:type="dxa" w:w="100"/>
            </w:tcMar>
            <w:vAlign w:val="center"/>
          </w:tcPr>
          <w:p>
            <w:pPr>
              <w:jc w:val="left"/>
            </w:pPr>
            <w:r>
              <w:rPr>
                <w:b/>
                <w:bCs/>
                <w:sz w:val="18"/>
                <w:szCs w:val="18"/>
              </w:rPr>
              <w:t xml:space="preserve">Card (name, set, year, number)</w:t>
            </w:r>
          </w:p>
        </w:tc>
        <w:tc>
          <w:tcPr>
            <w:tcW w:type="dxa" w:w="1100"/>
            <w:shd w:fill="E8E8E8" w:color="auto" w:val="clear"/>
            <w:tcMar>
              <w:top w:type="dxa" w:w="80"/>
              <w:left w:type="dxa" w:w="100"/>
              <w:bottom w:type="dxa" w:w="80"/>
              <w:right w:type="dxa" w:w="100"/>
            </w:tcMar>
            <w:vAlign w:val="center"/>
          </w:tcPr>
          <w:p>
            <w:pPr>
              <w:jc w:val="left"/>
            </w:pPr>
            <w:r>
              <w:rPr>
                <w:b/>
                <w:bCs/>
                <w:sz w:val="18"/>
                <w:szCs w:val="18"/>
              </w:rPr>
              <w:t xml:space="preserve">Tech Sheet No.</w:t>
            </w:r>
          </w:p>
        </w:tc>
        <w:tc>
          <w:tcPr>
            <w:tcW w:type="dxa" w:w="1000"/>
            <w:shd w:fill="E8E8E8" w:color="auto" w:val="clear"/>
            <w:tcMar>
              <w:top w:type="dxa" w:w="80"/>
              <w:left w:type="dxa" w:w="100"/>
              <w:bottom w:type="dxa" w:w="80"/>
              <w:right w:type="dxa" w:w="100"/>
            </w:tcMar>
            <w:vAlign w:val="center"/>
          </w:tcPr>
          <w:p>
            <w:pPr>
              <w:jc w:val="left"/>
            </w:pPr>
            <w:r>
              <w:rPr>
                <w:b/>
                <w:bCs/>
                <w:sz w:val="18"/>
                <w:szCs w:val="18"/>
              </w:rPr>
              <w:t xml:space="preserve">Declared value</w:t>
            </w:r>
          </w:p>
        </w:tc>
        <w:tc>
          <w:tcPr>
            <w:tcW w:type="dxa" w:w="1400"/>
            <w:shd w:fill="E8E8E8" w:color="auto" w:val="clear"/>
            <w:tcMar>
              <w:top w:type="dxa" w:w="80"/>
              <w:left w:type="dxa" w:w="100"/>
              <w:bottom w:type="dxa" w:w="80"/>
              <w:right w:type="dxa" w:w="100"/>
            </w:tcMar>
            <w:vAlign w:val="center"/>
          </w:tcPr>
          <w:p>
            <w:pPr>
              <w:jc w:val="left"/>
            </w:pPr>
            <w:r>
              <w:rPr>
                <w:b/>
                <w:bCs/>
                <w:sz w:val="18"/>
                <w:szCs w:val="18"/>
              </w:rPr>
              <w:t xml:space="preserve">Tier I authorized (initials)</w:t>
            </w:r>
          </w:p>
        </w:tc>
        <w:tc>
          <w:tcPr>
            <w:tcW w:type="dxa" w:w="1400"/>
            <w:shd w:fill="E8E8E8" w:color="auto" w:val="clear"/>
            <w:tcMar>
              <w:top w:type="dxa" w:w="80"/>
              <w:left w:type="dxa" w:w="100"/>
              <w:bottom w:type="dxa" w:w="80"/>
              <w:right w:type="dxa" w:w="100"/>
            </w:tcMar>
            <w:vAlign w:val="center"/>
          </w:tcPr>
          <w:p>
            <w:pPr>
              <w:jc w:val="left"/>
            </w:pPr>
            <w:r>
              <w:rPr>
                <w:b/>
                <w:bCs/>
                <w:sz w:val="18"/>
                <w:szCs w:val="18"/>
              </w:rPr>
              <w:t xml:space="preserve">Tier II authorized (initials)</w:t>
            </w:r>
          </w:p>
        </w:tc>
        <w:tc>
          <w:tcPr>
            <w:tcW w:type="dxa" w:w="1500"/>
            <w:shd w:fill="E8E8E8" w:color="auto" w:val="clear"/>
            <w:tcMar>
              <w:top w:type="dxa" w:w="80"/>
              <w:left w:type="dxa" w:w="100"/>
              <w:bottom w:type="dxa" w:w="80"/>
              <w:right w:type="dxa" w:w="100"/>
            </w:tcMar>
            <w:vAlign w:val="center"/>
          </w:tcPr>
          <w:p>
            <w:pPr>
              <w:jc w:val="left"/>
            </w:pPr>
            <w:r>
              <w:rPr>
                <w:b/>
                <w:bCs/>
                <w:sz w:val="18"/>
                <w:szCs w:val="18"/>
              </w:rPr>
              <w:t xml:space="preserve">Tier III authorized (initials)</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1</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2</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3</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4</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5</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6</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7</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r>
        <w:trPr>
          <w:trHeight w:val="560" w:hRule="atLeast"/>
        </w:trPr>
        <w:tc>
          <w:tcPr>
            <w:tcW w:type="dxa" w:w="400"/>
            <w:tcMar>
              <w:top w:type="dxa" w:w="80"/>
              <w:left w:type="dxa" w:w="100"/>
              <w:bottom w:type="dxa" w:w="80"/>
              <w:right w:type="dxa" w:w="100"/>
            </w:tcMar>
            <w:vAlign w:val="center"/>
          </w:tcPr>
          <w:p>
            <w:pPr>
              <w:jc w:val="center"/>
            </w:pPr>
            <w:r>
              <w:rPr>
                <w:b w:val="false"/>
                <w:bCs w:val="false"/>
                <w:sz w:val="18"/>
                <w:szCs w:val="18"/>
              </w:rPr>
              <w:t xml:space="preserve">8</w:t>
            </w:r>
          </w:p>
        </w:tc>
        <w:tc>
          <w:tcPr>
            <w:tcW w:type="dxa" w:w="2560"/>
            <w:tcMar>
              <w:top w:type="dxa" w:w="80"/>
              <w:left w:type="dxa" w:w="100"/>
              <w:bottom w:type="dxa" w:w="80"/>
              <w:right w:type="dxa" w:w="100"/>
            </w:tcMar>
            <w:vAlign w:val="center"/>
          </w:tcPr>
          <w:p>
            <w:pPr>
              <w:jc w:val="left"/>
            </w:pPr>
          </w:p>
        </w:tc>
        <w:tc>
          <w:tcPr>
            <w:tcW w:type="dxa" w:w="1100"/>
            <w:tcMar>
              <w:top w:type="dxa" w:w="80"/>
              <w:left w:type="dxa" w:w="100"/>
              <w:bottom w:type="dxa" w:w="80"/>
              <w:right w:type="dxa" w:w="100"/>
            </w:tcMar>
            <w:vAlign w:val="center"/>
          </w:tcPr>
          <w:p>
            <w:pPr>
              <w:jc w:val="left"/>
            </w:pPr>
          </w:p>
        </w:tc>
        <w:tc>
          <w:tcPr>
            <w:tcW w:type="dxa" w:w="1000"/>
            <w:tcMar>
              <w:top w:type="dxa" w:w="80"/>
              <w:left w:type="dxa" w:w="100"/>
              <w:bottom w:type="dxa" w:w="80"/>
              <w:right w:type="dxa" w:w="100"/>
            </w:tcMar>
            <w:vAlign w:val="center"/>
          </w:tcPr>
          <w:p>
            <w:pPr>
              <w:jc w:val="left"/>
            </w:pPr>
          </w:p>
        </w:tc>
        <w:tc>
          <w:tcPr>
            <w:tcW w:type="dxa" w:w="1400"/>
            <w:tcMar>
              <w:top w:type="dxa" w:w="80"/>
              <w:left w:type="dxa" w:w="100"/>
              <w:bottom w:type="dxa" w:w="80"/>
              <w:right w:type="dxa" w:w="100"/>
            </w:tcMar>
            <w:vAlign w:val="center"/>
          </w:tcPr>
          <w:p>
            <w:pPr>
              <w:jc w:val="center"/>
            </w:pPr>
            <w:r>
              <w:rPr>
                <w:b w:val="false"/>
                <w:bCs w:val="false"/>
                <w:sz w:val="18"/>
                <w:szCs w:val="18"/>
              </w:rPr>
              <w:t xml:space="preserve">☐  I  ______</w:t>
            </w:r>
          </w:p>
        </w:tc>
        <w:tc>
          <w:tcPr>
            <w:tcW w:type="dxa" w:w="1400"/>
            <w:tcMar>
              <w:top w:type="dxa" w:w="80"/>
              <w:left w:type="dxa" w:w="100"/>
              <w:bottom w:type="dxa" w:w="80"/>
              <w:right w:type="dxa" w:w="100"/>
            </w:tcMar>
            <w:vAlign w:val="center"/>
          </w:tcPr>
          <w:p>
            <w:pPr>
              <w:jc w:val="center"/>
            </w:pPr>
            <w:r>
              <w:rPr>
                <w:b w:val="false"/>
                <w:bCs w:val="false"/>
                <w:sz w:val="18"/>
                <w:szCs w:val="18"/>
              </w:rPr>
              <w:t xml:space="preserve">☐  II  ______</w:t>
            </w:r>
          </w:p>
        </w:tc>
        <w:tc>
          <w:tcPr>
            <w:tcW w:type="dxa" w:w="1500"/>
            <w:tcMar>
              <w:top w:type="dxa" w:w="80"/>
              <w:left w:type="dxa" w:w="100"/>
              <w:bottom w:type="dxa" w:w="80"/>
              <w:right w:type="dxa" w:w="100"/>
            </w:tcMar>
            <w:vAlign w:val="center"/>
          </w:tcPr>
          <w:p>
            <w:pPr>
              <w:jc w:val="center"/>
            </w:pPr>
            <w:r>
              <w:rPr>
                <w:b w:val="false"/>
                <w:bCs w:val="false"/>
                <w:sz w:val="18"/>
                <w:szCs w:val="18"/>
              </w:rPr>
              <w:t xml:space="preserve">☐  III  ______</w:t>
            </w:r>
          </w:p>
        </w:tc>
      </w:tr>
    </w:tbl>
    <w:p>
      <w:pPr>
        <w:spacing w:after="200"/>
      </w:pPr>
    </w:p>
    <w:p>
      <w:pPr>
        <w:spacing w:after="120"/>
      </w:pPr>
      <w:r>
        <w:rPr>
          <w:b/>
          <w:bCs/>
        </w:rPr>
        <w:t xml:space="preserve">Customer acknowledgment.</w:t>
      </w:r>
      <w:r>
        <w:t xml:space="preserve"> By initialing above and signing below, I confirm that:</w:t>
      </w:r>
    </w:p>
    <w:p>
      <w:pPr>
        <w:pStyle w:val="ListParagraph"/>
        <w:numPr>
          <w:ilvl w:val="0"/>
          <w:numId w:val="2"/>
        </w:numPr>
        <w:spacing w:after="80"/>
      </w:pPr>
      <w:r>
        <w:t xml:space="preserve">I have read the definitions of the three Disclosure Tiers and understand the difference between them.</w:t>
      </w:r>
    </w:p>
    <w:p>
      <w:pPr>
        <w:pStyle w:val="ListParagraph"/>
        <w:numPr>
          <w:ilvl w:val="0"/>
          <w:numId w:val="2"/>
        </w:numPr>
        <w:spacing w:after="80"/>
      </w:pPr>
      <w:r>
        <w:t xml:space="preserve">For each Card I have initialed the highest tier of work I authorize, and I understand no work above that tier will be performed without my written approval.</w:t>
      </w:r>
    </w:p>
    <w:p>
      <w:pPr>
        <w:pStyle w:val="ListParagraph"/>
        <w:numPr>
          <w:ilvl w:val="0"/>
          <w:numId w:val="2"/>
        </w:numPr>
        <w:spacing w:after="80"/>
      </w:pPr>
      <w:r>
        <w:t xml:space="preserve">Where I have authorized Tier III, I understand that the Card will very likely be identified as altered by grading services and must be disclosed as altered on any sale.</w:t>
      </w:r>
    </w:p>
    <w:p>
      <w:pPr>
        <w:pStyle w:val="ListParagraph"/>
        <w:numPr>
          <w:ilvl w:val="0"/>
          <w:numId w:val="2"/>
        </w:numPr>
        <w:spacing w:after="80"/>
      </w:pPr>
      <w:r>
        <w:t xml:space="preserve">I understand that each Card's completed Conservation Tech Sheet will be the record of what was actually done, and that I am responsible for passing that disclosure on to any future buyer or grader.</w:t>
      </w:r>
    </w:p>
    <w:p>
      <w:pPr>
        <w:tabs>
          <w:tab w:val="right" w:pos="9360" w:leader="underscore"/>
        </w:tabs>
        <w:spacing w:after="60" w:before="200"/>
      </w:pPr>
      <w:r>
        <w:rPr>
          <w:b/>
          <w:bCs/>
        </w:rPr>
        <w:t xml:space="preserve">Customer signature: </w:t>
      </w:r>
      <w:r>
        <w:t xml:space="preserve">	</w:t>
      </w:r>
    </w:p>
    <w:p>
      <w:pPr>
        <w:tabs>
          <w:tab w:val="right" w:pos="9360" w:leader="underscore"/>
        </w:tabs>
        <w:spacing w:after="60" w:before="200"/>
      </w:pPr>
      <w:r>
        <w:rPr>
          <w:b/>
          <w:bCs/>
        </w:rPr>
        <w:t xml:space="preserve">Printed name: </w:t>
      </w:r>
      <w:r>
        <w:t xml:space="preserve">	</w:t>
      </w:r>
    </w:p>
    <w:p>
      <w:pPr>
        <w:tabs>
          <w:tab w:val="right" w:pos="9360" w:leader="underscore"/>
        </w:tabs>
        <w:spacing w:after="60" w:before="200"/>
      </w:pPr>
      <w:r>
        <w:rPr>
          <w:b/>
          <w:bCs/>
        </w:rPr>
        <w:t xml:space="preserve">Date: </w:t>
      </w:r>
      <w:r>
        <w:t xml:space="preserve">	</w:t>
      </w:r>
    </w:p>
    <w:p>
      <w:pPr>
        <w:tabs>
          <w:tab w:val="right" w:pos="9360" w:leader="underscore"/>
        </w:tabs>
        <w:spacing w:after="60" w:before="200"/>
      </w:pPr>
      <w:r>
        <w:rPr>
          <w:b/>
          <w:bCs/>
        </w:rPr>
        <w:t xml:space="preserve">Service Provider acknowledgment (signature and date): </w:t>
      </w:r>
      <w:r>
        <w:t xml:space="preserve">	</w:t>
      </w:r>
    </w:p>
    <w:p>
      <w:r>
        <w:br w:type="page"/>
      </w:r>
    </w:p>
    <w:p>
      <w:pPr>
        <w:pStyle w:val="Heading1"/>
        <w:spacing w:after="160" w:before="360"/>
      </w:pPr>
      <w:r>
        <w:t xml:space="preserve">Attribution and Reuse</w:t>
      </w:r>
    </w:p>
    <w:p>
      <w:pPr>
        <w:spacing w:after="120"/>
      </w:pPr>
      <w:r>
        <w:t xml:space="preserve">This template is released to the card conservation community for free use and adaptation, including commercial use by working restorers. Attribution is appreciated but not required.</w:t>
      </w:r>
    </w:p>
    <w:p>
      <w:pPr>
        <w:spacing w:after="120"/>
      </w:pPr>
      <w:r>
        <w:t xml:space="preserve">Originally drafted by Matthew Musick of Shiny Asset Exchange LLC, shared with the community with his permission. Expanded and annotated by Card Conservation. The Scope of Work and Tier Authorization schedule was added in v1.1 following an attorney's recommendation that a per-card scope of work be tied to the Conservation Tech Sheet.</w:t>
      </w:r>
    </w:p>
    <w:p>
      <w:pPr>
        <w:spacing w:after="120"/>
      </w:pPr>
      <w:r>
        <w:t xml:space="preserve">Neither contributor is an attorney, and no attorney has reviewed this document. </w:t>
      </w:r>
      <w:r>
        <w:rPr>
          <w:b/>
          <w:bCs/>
        </w:rPr>
        <w:t xml:space="preserve">No warranty of any kind is provided.</w:t>
      </w:r>
      <w:r>
        <w:t xml:space="preserve"> See the disclaimer at the top of this document.</w:t>
      </w:r>
    </w:p>
    <w:p>
      <w:pPr>
        <w:pStyle w:val="Heading3"/>
        <w:spacing w:after="80" w:before="200"/>
      </w:pPr>
      <w:r>
        <w:t xml:space="preserve">Version history</w:t>
      </w:r>
    </w:p>
    <w:p>
      <w:pPr>
        <w:pStyle w:val="ListParagraph"/>
        <w:numPr>
          <w:ilvl w:val="0"/>
          <w:numId w:val="2"/>
        </w:numPr>
        <w:spacing w:after="80"/>
      </w:pPr>
      <w:r>
        <w:rPr>
          <w:b/>
          <w:bCs/>
        </w:rPr>
        <w:t xml:space="preserve">v1.1, September 2026.</w:t>
      </w:r>
      <w:r>
        <w:t xml:space="preserve"> Added Schedule A (Scope of Work and Tier Authorization). Section 1 now defines scope by authorized tier and incorporates each Card's Conservation Tech Sheet by reference. Sections 2, 7, 8, 12, 15, 18 and 19 updated to match. Word document is now the only maintained copy.</w:t>
      </w:r>
    </w:p>
    <w:p>
      <w:pPr>
        <w:pStyle w:val="ListParagraph"/>
        <w:numPr>
          <w:ilvl w:val="0"/>
          <w:numId w:val="2"/>
        </w:numPr>
        <w:spacing w:after="80"/>
      </w:pPr>
      <w:r>
        <w:rPr>
          <w:b/>
          <w:bCs/>
        </w:rPr>
        <w:t xml:space="preserve">v1.0, 2026.</w:t>
      </w:r>
      <w:r>
        <w:t xml:space="preserve"> Initial wiki release.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4A90D9" w:sz="6"/>
              <w:left w:val="single" w:color="4A90D9" w:sz="24"/>
              <w:bottom w:val="single" w:color="4A90D9" w:sz="6"/>
              <w:right w:val="single" w:color="4A90D9" w:sz="6"/>
            </w:tcBorders>
            <w:shd w:fill="EAF2FB" w:color="auto" w:val="clear"/>
            <w:tcMar>
              <w:top w:type="dxa" w:w="140"/>
              <w:left w:type="dxa" w:w="200"/>
              <w:bottom w:type="dxa" w:w="140"/>
              <w:right w:type="dxa" w:w="200"/>
            </w:tcMar>
          </w:tcPr>
          <w:p>
            <w:pPr>
              <w:spacing w:after="0"/>
            </w:pPr>
            <w:r>
              <w:rPr>
                <w:b/>
                <w:bCs/>
              </w:rPr>
              <w:t xml:space="preserve">Send corrections and suggested changes to giovanni@pokemastercenter.com.</w:t>
            </w:r>
            <w:r>
              <w:t xml:space="preserve"> If your attorney marked this up, we would like to see it (with anything confidential removed). Latest version: cardconservation.com/wiki/Restoration_Service_Agreement_Template</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Card Restoration Service Agreement Template v1.1 — September 2026 · cardconservation.com · not legal advice · updates: giovanni@pokemastercenter.com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a2a6c"/>
      <w:sz w:val="32"/>
      <w:szCs w:val="32"/>
    </w:rPr>
  </w:style>
  <w:style w:type="paragraph" w:styleId="Heading2">
    <w:name w:val="Heading 2"/>
    <w:basedOn w:val="Normal"/>
    <w:next w:val="Normal"/>
    <w:qFormat/>
    <w:pPr>
      <w:outlineLvl w:val="1"/>
    </w:pPr>
    <w:rPr>
      <w:rFonts w:ascii="Calibri" w:cs="Calibri" w:eastAsia="Calibri" w:hAnsi="Calibri"/>
      <w:b/>
      <w:bCs/>
      <w:color w:val="222222"/>
      <w:sz w:val="26"/>
      <w:szCs w:val="26"/>
    </w:rPr>
  </w:style>
  <w:style w:type="paragraph" w:styleId="Heading3">
    <w:name w:val="Heading 3"/>
    <w:basedOn w:val="Normal"/>
    <w:next w:val="Normal"/>
    <w:qFormat/>
    <w:pPr>
      <w:outlineLvl w:val="2"/>
    </w:pPr>
    <w:rPr>
      <w:rFonts w:ascii="Calibri" w:cs="Calibri" w:eastAsia="Calibri" w:hAnsi="Calibri"/>
      <w:b/>
      <w:bCs/>
      <w:color w:val="444444"/>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 Restoration Service Agreement — Free Template</dc:title>
  <dc:creator>Card Conservation</dc:creator>
  <dc:description>Template v1.1 — September 2026. Updates: giovanni@pokemastercenter.com</dc:description>
  <cp:lastModifiedBy>Un-named</cp:lastModifiedBy>
  <cp:revision>1</cp:revision>
  <dcterms:created xsi:type="dcterms:W3CDTF">2026-09-25T18:31:21.570Z</dcterms:created>
  <dcterms:modified xsi:type="dcterms:W3CDTF">2026-09-25T18:31:21.574Z</dcterms:modified>
</cp:coreProperties>
</file>

<file path=docProps/custom.xml><?xml version="1.0" encoding="utf-8"?>
<Properties xmlns="http://schemas.openxmlformats.org/officeDocument/2006/custom-properties" xmlns:vt="http://schemas.openxmlformats.org/officeDocument/2006/docPropsVTypes"/>
</file>